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FD1CE7">
      <w:pPr>
        <w:snapToGrid w:val="0"/>
        <w:spacing w:line="288" w:lineRule="auto"/>
        <w:jc w:val="center"/>
        <w:rPr>
          <w:rFonts w:hint="eastAsia" w:ascii="宋体" w:hAnsi="宋体" w:eastAsia="宋体" w:cs="Times New Roman"/>
          <w:b/>
          <w:bCs w:val="0"/>
          <w:i w:val="0"/>
          <w:iCs w:val="0"/>
          <w:caps w:val="0"/>
          <w:spacing w:val="0"/>
          <w:sz w:val="32"/>
          <w:szCs w:val="48"/>
          <w:shd w:val="clear"/>
          <w:lang w:val="en-US" w:eastAsia="zh-CN"/>
        </w:rPr>
      </w:pPr>
      <w:r>
        <w:rPr>
          <w:rFonts w:hint="eastAsia" w:ascii="宋体" w:hAnsi="宋体" w:cs="Times New Roman"/>
          <w:b/>
          <w:bCs w:val="0"/>
          <w:i w:val="0"/>
          <w:iCs w:val="0"/>
          <w:caps w:val="0"/>
          <w:spacing w:val="0"/>
          <w:sz w:val="32"/>
          <w:szCs w:val="48"/>
          <w:shd w:val="clear"/>
          <w:lang w:val="en-US" w:eastAsia="zh-CN"/>
        </w:rPr>
        <w:t>原料适应性技改项目台风后修缮、改造</w:t>
      </w:r>
      <w:r>
        <w:rPr>
          <w:rFonts w:hint="eastAsia" w:ascii="宋体" w:hAnsi="宋体" w:eastAsia="宋体" w:cs="Times New Roman"/>
          <w:b/>
          <w:bCs w:val="0"/>
          <w:i w:val="0"/>
          <w:iCs w:val="0"/>
          <w:caps w:val="0"/>
          <w:spacing w:val="0"/>
          <w:sz w:val="32"/>
          <w:szCs w:val="48"/>
          <w:shd w:val="clear"/>
          <w:lang w:val="en-US" w:eastAsia="zh-CN"/>
        </w:rPr>
        <w:t>工程发包说明</w:t>
      </w:r>
    </w:p>
    <w:p w14:paraId="58EF8E46">
      <w:pPr>
        <w:snapToGrid w:val="0"/>
        <w:spacing w:line="288" w:lineRule="auto"/>
        <w:rPr>
          <w:rFonts w:hint="eastAsia" w:ascii="仿宋_GB2312" w:hAnsi="仿宋_GB2312" w:eastAsia="仿宋_GB2312"/>
          <w:b/>
          <w:bCs/>
          <w:sz w:val="28"/>
          <w:szCs w:val="28"/>
        </w:rPr>
      </w:pPr>
    </w:p>
    <w:p w14:paraId="76759563">
      <w:pPr>
        <w:snapToGrid w:val="0"/>
        <w:spacing w:line="288" w:lineRule="auto"/>
        <w:rPr>
          <w:rFonts w:hint="eastAsia" w:ascii="仿宋_GB2312" w:hAnsi="仿宋_GB2312" w:eastAsia="仿宋_GB2312"/>
          <w:b/>
          <w:bCs/>
          <w:sz w:val="28"/>
          <w:szCs w:val="28"/>
        </w:rPr>
      </w:pPr>
    </w:p>
    <w:p w14:paraId="4E33C6BF">
      <w:pPr>
        <w:snapToGrid w:val="0"/>
        <w:spacing w:line="288" w:lineRule="auto"/>
        <w:rPr>
          <w:rFonts w:hint="eastAsia" w:ascii="仿宋_GB2312" w:hAnsi="仿宋_GB2312" w:eastAsia="仿宋_GB2312"/>
          <w:b/>
          <w:bCs/>
          <w:color w:val="auto"/>
          <w:sz w:val="28"/>
          <w:szCs w:val="28"/>
        </w:rPr>
      </w:pPr>
      <w:r>
        <w:rPr>
          <w:rFonts w:hint="eastAsia" w:ascii="仿宋_GB2312" w:hAnsi="仿宋_GB2312" w:eastAsia="仿宋_GB2312"/>
          <w:b/>
          <w:bCs/>
          <w:sz w:val="28"/>
          <w:szCs w:val="28"/>
        </w:rPr>
        <w:t>一、项</w:t>
      </w:r>
      <w:r>
        <w:rPr>
          <w:rFonts w:hint="eastAsia" w:ascii="仿宋_GB2312" w:hAnsi="仿宋_GB2312" w:eastAsia="仿宋_GB2312"/>
          <w:b/>
          <w:bCs/>
          <w:color w:val="auto"/>
          <w:sz w:val="28"/>
          <w:szCs w:val="28"/>
        </w:rPr>
        <w:t>目概况</w:t>
      </w:r>
    </w:p>
    <w:p w14:paraId="10A111CF">
      <w:pPr>
        <w:snapToGrid w:val="0"/>
        <w:spacing w:line="288" w:lineRule="auto"/>
        <w:ind w:firstLine="560" w:firstLineChars="200"/>
        <w:jc w:val="left"/>
        <w:outlineLvl w:val="9"/>
        <w:rPr>
          <w:rFonts w:hint="eastAsia" w:ascii="仿宋_GB2312" w:hAnsi="仿宋_GB2312" w:eastAsia="仿宋_GB2312" w:cs="Times New Roman"/>
          <w:b w:val="0"/>
          <w:bCs w:val="0"/>
          <w:i w:val="0"/>
          <w:iCs w:val="0"/>
          <w:caps w:val="0"/>
          <w:color w:val="auto"/>
          <w:spacing w:val="0"/>
          <w:sz w:val="28"/>
          <w:szCs w:val="28"/>
          <w:shd w:val="clear"/>
          <w:lang w:val="en-US" w:eastAsia="zh-CN"/>
        </w:rPr>
      </w:pPr>
      <w:r>
        <w:rPr>
          <w:rFonts w:hint="eastAsia" w:ascii="仿宋_GB2312" w:hAnsi="仿宋_GB2312" w:eastAsia="仿宋_GB2312" w:cs="Times New Roman"/>
          <w:color w:val="auto"/>
          <w:sz w:val="28"/>
          <w:szCs w:val="28"/>
        </w:rPr>
        <w:t>1、工程名称：</w:t>
      </w:r>
      <w:r>
        <w:rPr>
          <w:rFonts w:hint="eastAsia" w:ascii="仿宋_GB2312" w:hAnsi="仿宋_GB2312" w:eastAsia="仿宋_GB2312" w:cs="Times New Roman"/>
          <w:b w:val="0"/>
          <w:bCs w:val="0"/>
          <w:i w:val="0"/>
          <w:iCs w:val="0"/>
          <w:caps w:val="0"/>
          <w:color w:val="auto"/>
          <w:spacing w:val="0"/>
          <w:sz w:val="28"/>
          <w:szCs w:val="28"/>
          <w:shd w:val="clear"/>
          <w:lang w:val="en-US" w:eastAsia="zh-CN"/>
        </w:rPr>
        <w:t>原料适应性技改项目台风后修缮工程</w:t>
      </w:r>
    </w:p>
    <w:p w14:paraId="0C01012C">
      <w:pPr>
        <w:snapToGrid w:val="0"/>
        <w:spacing w:line="288" w:lineRule="auto"/>
        <w:ind w:firstLine="560" w:firstLineChars="200"/>
        <w:outlineLvl w:val="9"/>
        <w:rPr>
          <w:rFonts w:hint="eastAsia" w:ascii="仿宋_GB2312" w:hAnsi="仿宋_GB2312" w:eastAsia="仿宋_GB2312" w:cs="Times New Roman"/>
          <w:color w:val="auto"/>
          <w:sz w:val="28"/>
          <w:szCs w:val="28"/>
        </w:rPr>
      </w:pPr>
      <w:r>
        <w:rPr>
          <w:rFonts w:hint="eastAsia" w:ascii="仿宋_GB2312" w:hAnsi="仿宋_GB2312" w:eastAsia="仿宋_GB2312" w:cs="Times New Roman"/>
          <w:color w:val="auto"/>
          <w:sz w:val="28"/>
          <w:szCs w:val="28"/>
        </w:rPr>
        <w:t>2、工程地点：福建省漳州市古雷经济开发区</w:t>
      </w:r>
      <w:r>
        <w:rPr>
          <w:rFonts w:hint="eastAsia" w:ascii="仿宋_GB2312" w:hAnsi="仿宋_GB2312" w:eastAsia="仿宋_GB2312" w:cs="Times New Roman"/>
          <w:color w:val="auto"/>
          <w:sz w:val="28"/>
          <w:szCs w:val="28"/>
          <w:lang w:eastAsia="zh-CN"/>
        </w:rPr>
        <w:t>福海创</w:t>
      </w:r>
      <w:r>
        <w:rPr>
          <w:rFonts w:hint="eastAsia" w:ascii="仿宋_GB2312" w:hAnsi="仿宋_GB2312" w:eastAsia="仿宋_GB2312" w:cs="Times New Roman"/>
          <w:color w:val="auto"/>
          <w:sz w:val="28"/>
          <w:szCs w:val="28"/>
        </w:rPr>
        <w:t>厂区内</w:t>
      </w:r>
    </w:p>
    <w:p w14:paraId="25223AC4">
      <w:pPr>
        <w:snapToGrid w:val="0"/>
        <w:spacing w:line="288" w:lineRule="auto"/>
        <w:ind w:firstLine="560" w:firstLineChars="200"/>
        <w:outlineLvl w:val="9"/>
        <w:rPr>
          <w:rFonts w:hint="eastAsia" w:ascii="仿宋_GB2312" w:hAnsi="仿宋_GB2312" w:eastAsia="仿宋_GB2312"/>
          <w:color w:val="auto"/>
          <w:sz w:val="28"/>
          <w:szCs w:val="28"/>
        </w:rPr>
      </w:pPr>
      <w:r>
        <w:rPr>
          <w:rFonts w:hint="eastAsia" w:ascii="仿宋_GB2312" w:hAnsi="仿宋_GB2312" w:eastAsia="仿宋_GB2312" w:cs="Times New Roman"/>
          <w:color w:val="auto"/>
          <w:sz w:val="28"/>
          <w:szCs w:val="28"/>
        </w:rPr>
        <w:t>3、建设单位：</w:t>
      </w:r>
      <w:r>
        <w:rPr>
          <w:rFonts w:hint="eastAsia" w:ascii="仿宋_GB2312" w:hAnsi="仿宋_GB2312" w:eastAsia="仿宋_GB2312" w:cs="Times New Roman"/>
          <w:color w:val="auto"/>
          <w:sz w:val="28"/>
          <w:szCs w:val="28"/>
          <w:lang w:eastAsia="zh-CN"/>
        </w:rPr>
        <w:t>福建福海创石油</w:t>
      </w:r>
      <w:r>
        <w:rPr>
          <w:rFonts w:hint="eastAsia" w:ascii="仿宋_GB2312" w:hAnsi="仿宋_GB2312" w:eastAsia="仿宋_GB2312"/>
          <w:color w:val="auto"/>
          <w:sz w:val="28"/>
          <w:szCs w:val="28"/>
          <w:lang w:eastAsia="zh-CN"/>
        </w:rPr>
        <w:t>化工</w:t>
      </w:r>
      <w:r>
        <w:rPr>
          <w:rFonts w:hint="eastAsia" w:ascii="仿宋_GB2312" w:hAnsi="仿宋_GB2312" w:eastAsia="仿宋_GB2312"/>
          <w:color w:val="auto"/>
          <w:sz w:val="28"/>
          <w:szCs w:val="28"/>
        </w:rPr>
        <w:t>有限公司</w:t>
      </w:r>
    </w:p>
    <w:p w14:paraId="2CCE7A7C">
      <w:pPr>
        <w:snapToGrid w:val="0"/>
        <w:spacing w:line="336" w:lineRule="auto"/>
        <w:ind w:firstLine="560" w:firstLineChars="200"/>
        <w:rPr>
          <w:rFonts w:hint="eastAsia" w:ascii="仿宋_GB2312" w:hAnsi="仿宋_GB2312" w:eastAsia="仿宋_GB2312"/>
          <w:color w:val="auto"/>
          <w:sz w:val="28"/>
          <w:szCs w:val="28"/>
        </w:rPr>
      </w:pPr>
      <w:r>
        <w:rPr>
          <w:rFonts w:hint="eastAsia" w:ascii="仿宋_GB2312" w:hAnsi="仿宋_GB2312" w:eastAsia="仿宋_GB2312"/>
          <w:color w:val="auto"/>
          <w:sz w:val="28"/>
          <w:szCs w:val="28"/>
        </w:rPr>
        <w:t xml:space="preserve">4、背景说明： </w:t>
      </w:r>
    </w:p>
    <w:p w14:paraId="3C7CEC9A">
      <w:pPr>
        <w:snapToGrid w:val="0"/>
        <w:spacing w:line="336" w:lineRule="auto"/>
        <w:ind w:firstLine="560" w:firstLineChars="200"/>
        <w:rPr>
          <w:rFonts w:hint="default" w:ascii="仿宋_GB2312" w:hAnsi="仿宋_GB2312" w:eastAsia="仿宋_GB2312"/>
          <w:color w:val="auto"/>
          <w:sz w:val="28"/>
          <w:szCs w:val="28"/>
          <w:lang w:val="en-US" w:eastAsia="zh-CN"/>
        </w:rPr>
      </w:pPr>
      <w:r>
        <w:rPr>
          <w:rFonts w:hint="eastAsia" w:ascii="仿宋_GB2312" w:hAnsi="仿宋_GB2312" w:eastAsia="仿宋_GB2312"/>
          <w:color w:val="auto"/>
          <w:sz w:val="28"/>
          <w:szCs w:val="28"/>
        </w:rPr>
        <w:t>本项目位于</w:t>
      </w:r>
      <w:r>
        <w:rPr>
          <w:rFonts w:hint="eastAsia" w:ascii="仿宋_GB2312" w:hAnsi="仿宋_GB2312" w:eastAsia="仿宋_GB2312"/>
          <w:color w:val="auto"/>
          <w:sz w:val="28"/>
          <w:szCs w:val="28"/>
          <w:lang w:eastAsia="zh-CN"/>
        </w:rPr>
        <w:t>福海创</w:t>
      </w:r>
      <w:r>
        <w:rPr>
          <w:rFonts w:hint="eastAsia" w:ascii="仿宋_GB2312" w:hAnsi="仿宋_GB2312" w:eastAsia="仿宋_GB2312"/>
          <w:color w:val="auto"/>
          <w:sz w:val="28"/>
          <w:szCs w:val="28"/>
        </w:rPr>
        <w:t>厂区内，</w:t>
      </w:r>
      <w:r>
        <w:rPr>
          <w:rFonts w:hint="eastAsia" w:ascii="仿宋_GB2312" w:hAnsi="仿宋_GB2312" w:eastAsia="仿宋_GB2312"/>
          <w:color w:val="auto"/>
          <w:sz w:val="28"/>
          <w:szCs w:val="28"/>
          <w:lang w:val="en-US" w:eastAsia="zh-CN"/>
        </w:rPr>
        <w:t>对以往台风影响区域进行修缮，优化改造，为安全生产做好保障工作。</w:t>
      </w:r>
    </w:p>
    <w:p w14:paraId="4B832090">
      <w:pPr>
        <w:numPr>
          <w:ilvl w:val="0"/>
          <w:numId w:val="1"/>
        </w:numPr>
        <w:snapToGrid w:val="0"/>
        <w:spacing w:line="336" w:lineRule="auto"/>
        <w:ind w:firstLine="560" w:firstLineChars="200"/>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rPr>
        <w:t>工期要求：</w:t>
      </w:r>
      <w:r>
        <w:rPr>
          <w:rFonts w:hint="eastAsia" w:ascii="仿宋_GB2312" w:hAnsi="仿宋_GB2312" w:eastAsia="仿宋_GB2312"/>
          <w:color w:val="auto"/>
          <w:sz w:val="28"/>
          <w:szCs w:val="28"/>
          <w:lang w:eastAsia="zh-CN"/>
        </w:rPr>
        <w:t>总工期</w:t>
      </w:r>
      <w:r>
        <w:rPr>
          <w:rFonts w:hint="eastAsia" w:ascii="仿宋_GB2312" w:hAnsi="仿宋_GB2312" w:eastAsia="仿宋_GB2312"/>
          <w:color w:val="auto"/>
          <w:sz w:val="28"/>
          <w:szCs w:val="28"/>
          <w:lang w:val="en-US" w:eastAsia="zh-CN"/>
        </w:rPr>
        <w:t>120</w:t>
      </w:r>
      <w:r>
        <w:rPr>
          <w:rFonts w:hint="eastAsia" w:ascii="仿宋_GB2312" w:hAnsi="仿宋_GB2312" w:eastAsia="仿宋_GB2312"/>
          <w:color w:val="auto"/>
          <w:sz w:val="28"/>
          <w:szCs w:val="28"/>
        </w:rPr>
        <w:t>日历天。承包商应根据现场实际情况和我司工期要求，合理组织施工</w:t>
      </w:r>
      <w:r>
        <w:rPr>
          <w:rFonts w:hint="eastAsia" w:ascii="仿宋_GB2312" w:hAnsi="仿宋_GB2312" w:eastAsia="仿宋_GB2312"/>
          <w:color w:val="auto"/>
          <w:sz w:val="28"/>
          <w:szCs w:val="28"/>
          <w:lang w:eastAsia="zh-CN"/>
        </w:rPr>
        <w:t>队伍分配，</w:t>
      </w:r>
      <w:r>
        <w:rPr>
          <w:rFonts w:hint="eastAsia" w:ascii="仿宋_GB2312" w:hAnsi="仿宋_GB2312" w:eastAsia="仿宋_GB2312"/>
          <w:color w:val="auto"/>
          <w:sz w:val="28"/>
          <w:szCs w:val="28"/>
          <w:lang w:val="en-US" w:eastAsia="zh-CN"/>
        </w:rPr>
        <w:t>可以分段中交以</w:t>
      </w:r>
      <w:r>
        <w:rPr>
          <w:rFonts w:hint="eastAsia" w:ascii="仿宋_GB2312" w:hAnsi="仿宋_GB2312" w:eastAsia="仿宋_GB2312"/>
          <w:color w:val="auto"/>
          <w:sz w:val="28"/>
          <w:szCs w:val="28"/>
          <w:lang w:eastAsia="zh-CN"/>
        </w:rPr>
        <w:t>满足我司新装置及其他公司开工进度要求。</w:t>
      </w:r>
    </w:p>
    <w:p w14:paraId="7004E96C">
      <w:pPr>
        <w:snapToGrid w:val="0"/>
        <w:spacing w:line="336" w:lineRule="auto"/>
        <w:ind w:firstLine="560" w:firstLineChars="200"/>
        <w:rPr>
          <w:rFonts w:hint="eastAsia" w:ascii="仿宋_GB2312" w:hAnsi="仿宋_GB2312" w:eastAsia="仿宋_GB2312" w:cs="Times New Roman"/>
          <w:b/>
          <w:bCs/>
          <w:sz w:val="28"/>
          <w:szCs w:val="28"/>
        </w:rPr>
      </w:pPr>
      <w:r>
        <w:rPr>
          <w:rFonts w:hint="eastAsia" w:ascii="仿宋_GB2312" w:hAnsi="仿宋_GB2312" w:eastAsia="仿宋_GB2312"/>
          <w:color w:val="auto"/>
          <w:sz w:val="28"/>
          <w:szCs w:val="28"/>
        </w:rPr>
        <w:t>6、质量标准：满足施工图设计和规范要求，达到合格标准</w:t>
      </w:r>
      <w:r>
        <w:rPr>
          <w:rFonts w:hint="eastAsia" w:ascii="仿宋_GB2312" w:hAnsi="仿宋_GB2312" w:eastAsia="仿宋_GB2312"/>
          <w:color w:val="auto"/>
          <w:sz w:val="28"/>
          <w:szCs w:val="28"/>
          <w:lang w:eastAsia="zh-CN"/>
        </w:rPr>
        <w:t>。</w:t>
      </w:r>
    </w:p>
    <w:p w14:paraId="131C96BD">
      <w:pPr>
        <w:snapToGrid w:val="0"/>
        <w:spacing w:line="288" w:lineRule="auto"/>
        <w:rPr>
          <w:rFonts w:hint="eastAsia" w:ascii="仿宋_GB2312" w:hAnsi="仿宋_GB2312" w:eastAsia="仿宋_GB2312" w:cs="Times New Roman"/>
          <w:b/>
          <w:bCs/>
          <w:color w:val="auto"/>
          <w:sz w:val="28"/>
          <w:szCs w:val="28"/>
        </w:rPr>
      </w:pPr>
      <w:r>
        <w:rPr>
          <w:rFonts w:hint="eastAsia" w:ascii="仿宋_GB2312" w:hAnsi="仿宋_GB2312" w:eastAsia="仿宋_GB2312" w:cs="Times New Roman"/>
          <w:b/>
          <w:bCs/>
          <w:color w:val="auto"/>
          <w:sz w:val="28"/>
          <w:szCs w:val="28"/>
        </w:rPr>
        <w:t>二、招标范围</w:t>
      </w:r>
    </w:p>
    <w:p w14:paraId="41315F5D">
      <w:pPr>
        <w:pStyle w:val="14"/>
        <w:snapToGrid w:val="0"/>
        <w:spacing w:line="336" w:lineRule="auto"/>
        <w:ind w:firstLineChars="150"/>
        <w:rPr>
          <w:rFonts w:hint="eastAsia" w:ascii="仿宋_GB2312" w:hAnsi="仿宋_GB2312" w:eastAsia="仿宋_GB2312"/>
          <w:color w:val="auto"/>
          <w:sz w:val="28"/>
          <w:szCs w:val="28"/>
          <w:lang w:val="en-US" w:eastAsia="zh-CN"/>
        </w:rPr>
      </w:pPr>
      <w:r>
        <w:rPr>
          <w:rFonts w:hint="eastAsia" w:ascii="仿宋_GB2312" w:hAnsi="仿宋_GB2312" w:eastAsia="仿宋_GB2312"/>
          <w:color w:val="auto"/>
          <w:sz w:val="28"/>
          <w:szCs w:val="28"/>
        </w:rPr>
        <w:t>1、招标范围</w:t>
      </w:r>
    </w:p>
    <w:p w14:paraId="5F6696E7">
      <w:pPr>
        <w:pStyle w:val="14"/>
        <w:snapToGrid w:val="0"/>
        <w:spacing w:line="336" w:lineRule="auto"/>
        <w:ind w:firstLine="280" w:firstLineChars="100"/>
        <w:rPr>
          <w:rFonts w:hint="eastAsia" w:ascii="仿宋_GB2312" w:hAnsi="仿宋_GB2312" w:eastAsia="仿宋_GB2312"/>
          <w:color w:val="auto"/>
          <w:sz w:val="28"/>
          <w:szCs w:val="28"/>
          <w:lang w:val="en-US" w:eastAsia="zh-CN"/>
        </w:rPr>
      </w:pPr>
      <w:r>
        <w:rPr>
          <w:rFonts w:hint="eastAsia" w:ascii="仿宋_GB2312" w:hAnsi="仿宋_GB2312" w:eastAsia="仿宋_GB2312"/>
          <w:color w:val="auto"/>
          <w:sz w:val="28"/>
          <w:szCs w:val="28"/>
          <w:lang w:val="en-US" w:eastAsia="zh-CN"/>
        </w:rPr>
        <w:t>（1）公用工程及辅助设施-全厂管网（新建管廊）工程东侧排洪渠边坡及坡顶过道、栏杆修缮工程。</w:t>
      </w:r>
    </w:p>
    <w:p w14:paraId="105DF877">
      <w:pPr>
        <w:pStyle w:val="14"/>
        <w:snapToGrid w:val="0"/>
        <w:spacing w:line="336" w:lineRule="auto"/>
        <w:ind w:firstLine="280" w:firstLineChars="100"/>
        <w:rPr>
          <w:rFonts w:hint="default" w:ascii="仿宋_GB2312" w:hAnsi="仿宋_GB2312" w:eastAsia="仿宋_GB2312"/>
          <w:color w:val="auto"/>
          <w:sz w:val="28"/>
          <w:szCs w:val="28"/>
          <w:lang w:val="en-US" w:eastAsia="zh-CN"/>
        </w:rPr>
      </w:pPr>
      <w:r>
        <w:rPr>
          <w:rFonts w:hint="eastAsia" w:ascii="仿宋_GB2312" w:hAnsi="仿宋_GB2312" w:eastAsia="仿宋_GB2312"/>
          <w:color w:val="auto"/>
          <w:sz w:val="28"/>
          <w:szCs w:val="28"/>
          <w:lang w:val="en-US" w:eastAsia="zh-CN"/>
        </w:rPr>
        <w:t>排洪渠栏杆修缮部分由业主提供材料，施工单位运输至现场制作、安装等施工。</w:t>
      </w:r>
    </w:p>
    <w:p w14:paraId="19DB864D">
      <w:pPr>
        <w:pStyle w:val="14"/>
        <w:snapToGrid w:val="0"/>
        <w:spacing w:line="336" w:lineRule="auto"/>
        <w:ind w:firstLine="280" w:firstLineChars="100"/>
        <w:rPr>
          <w:rFonts w:hint="eastAsia" w:ascii="仿宋_GB2312" w:hAnsi="仿宋_GB2312" w:eastAsia="仿宋_GB2312" w:cs="Times New Roman"/>
          <w:b w:val="0"/>
          <w:bCs w:val="0"/>
          <w:i w:val="0"/>
          <w:iCs w:val="0"/>
          <w:caps w:val="0"/>
          <w:color w:val="auto"/>
          <w:spacing w:val="0"/>
          <w:sz w:val="28"/>
          <w:szCs w:val="28"/>
          <w:shd w:val="clear"/>
          <w:lang w:val="en-US" w:eastAsia="zh-CN"/>
        </w:rPr>
      </w:pPr>
      <w:r>
        <w:rPr>
          <w:rFonts w:hint="eastAsia" w:ascii="仿宋_GB2312" w:hAnsi="仿宋_GB2312" w:eastAsia="仿宋_GB2312" w:cs="Times New Roman"/>
          <w:b w:val="0"/>
          <w:bCs w:val="0"/>
          <w:i w:val="0"/>
          <w:iCs w:val="0"/>
          <w:caps w:val="0"/>
          <w:color w:val="auto"/>
          <w:spacing w:val="0"/>
          <w:sz w:val="28"/>
          <w:szCs w:val="28"/>
          <w:shd w:val="clear"/>
          <w:lang w:val="en-US" w:eastAsia="zh-CN"/>
        </w:rPr>
        <w:t>（2）配套储运及其它辅助系统 新建石脑油罐区-排水系统改造工程。</w:t>
      </w:r>
    </w:p>
    <w:p w14:paraId="3E588619">
      <w:pPr>
        <w:pStyle w:val="14"/>
        <w:snapToGrid w:val="0"/>
        <w:spacing w:line="336" w:lineRule="auto"/>
        <w:ind w:firstLine="280" w:firstLineChars="100"/>
        <w:rPr>
          <w:rFonts w:hint="eastAsia" w:ascii="仿宋_GB2312" w:hAnsi="仿宋_GB2312" w:eastAsia="仿宋_GB2312" w:cs="Times New Roman"/>
          <w:color w:val="auto"/>
          <w:sz w:val="28"/>
          <w:szCs w:val="28"/>
        </w:rPr>
      </w:pPr>
      <w:r>
        <w:rPr>
          <w:rFonts w:hint="eastAsia" w:ascii="仿宋_GB2312" w:hAnsi="仿宋_GB2312" w:eastAsia="仿宋_GB2312" w:cs="Times New Roman"/>
          <w:b w:val="0"/>
          <w:bCs w:val="0"/>
          <w:i w:val="0"/>
          <w:iCs w:val="0"/>
          <w:caps w:val="0"/>
          <w:color w:val="auto"/>
          <w:spacing w:val="0"/>
          <w:sz w:val="28"/>
          <w:szCs w:val="28"/>
          <w:shd w:val="clear"/>
          <w:lang w:val="en-US" w:eastAsia="zh-CN"/>
        </w:rPr>
        <w:t>（3）原料适应性技改项目配套火炬-新增挡土墙、边坡修缮工程。</w:t>
      </w:r>
    </w:p>
    <w:p w14:paraId="4E7F2D93">
      <w:pPr>
        <w:pStyle w:val="14"/>
        <w:snapToGrid w:val="0"/>
        <w:spacing w:line="336" w:lineRule="auto"/>
        <w:ind w:firstLine="560" w:firstLineChars="200"/>
        <w:rPr>
          <w:rFonts w:hint="default" w:ascii="仿宋_GB2312" w:hAnsi="仿宋_GB2312" w:eastAsia="仿宋_GB2312" w:cs="Times New Roman"/>
          <w:color w:val="auto"/>
          <w:kern w:val="2"/>
          <w:sz w:val="28"/>
          <w:szCs w:val="28"/>
          <w:lang w:val="en-US" w:eastAsia="zh-CN"/>
        </w:rPr>
      </w:pPr>
      <w:r>
        <w:rPr>
          <w:rFonts w:hint="eastAsia" w:ascii="仿宋_GB2312" w:hAnsi="仿宋_GB2312" w:eastAsia="仿宋_GB2312" w:cs="Times New Roman"/>
          <w:color w:val="auto"/>
          <w:sz w:val="28"/>
          <w:szCs w:val="28"/>
          <w:lang w:val="en-US" w:eastAsia="zh-CN"/>
        </w:rPr>
        <w:t>详见</w:t>
      </w:r>
      <w:r>
        <w:rPr>
          <w:rFonts w:hint="eastAsia" w:ascii="仿宋_GB2312" w:hAnsi="仿宋_GB2312" w:eastAsia="仿宋_GB2312" w:cs="Times New Roman"/>
          <w:color w:val="auto"/>
          <w:kern w:val="2"/>
          <w:sz w:val="28"/>
          <w:szCs w:val="28"/>
          <w:lang w:val="en-US" w:eastAsia="zh-CN"/>
        </w:rPr>
        <w:t>《工程内容汇总表》。</w:t>
      </w:r>
    </w:p>
    <w:p w14:paraId="6D13E2BA">
      <w:pPr>
        <w:snapToGrid w:val="0"/>
        <w:spacing w:line="336" w:lineRule="auto"/>
        <w:ind w:firstLine="420" w:firstLineChars="150"/>
        <w:rPr>
          <w:rFonts w:hint="eastAsia" w:ascii="仿宋_GB2312" w:hAnsi="仿宋_GB2312" w:eastAsia="仿宋_GB2312"/>
          <w:color w:val="auto"/>
          <w:sz w:val="28"/>
          <w:szCs w:val="28"/>
        </w:rPr>
      </w:pPr>
      <w:r>
        <w:rPr>
          <w:rFonts w:hint="eastAsia" w:ascii="仿宋_GB2312" w:hAnsi="仿宋_GB2312" w:eastAsia="仿宋_GB2312"/>
          <w:color w:val="auto"/>
          <w:sz w:val="28"/>
          <w:szCs w:val="28"/>
          <w:lang w:val="en-US" w:eastAsia="zh-CN"/>
        </w:rPr>
        <w:t>2</w:t>
      </w:r>
      <w:r>
        <w:rPr>
          <w:rFonts w:hint="eastAsia" w:ascii="仿宋_GB2312" w:hAnsi="仿宋_GB2312" w:eastAsia="仿宋_GB2312"/>
          <w:color w:val="auto"/>
          <w:sz w:val="28"/>
          <w:szCs w:val="28"/>
        </w:rPr>
        <w:t>、工程技术规范：本工程应严格按照现行施工及验收规范进行施工，主要技术规范除附件附图中的说明之外，有且不限于以下罗列规范：</w:t>
      </w:r>
    </w:p>
    <w:p w14:paraId="41C938FE">
      <w:pPr>
        <w:snapToGrid w:val="0"/>
        <w:spacing w:line="336" w:lineRule="auto"/>
        <w:ind w:firstLine="420" w:firstLineChars="150"/>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设计中采用的标准规范规定</w:t>
      </w:r>
    </w:p>
    <w:p w14:paraId="48B5D991">
      <w:pPr>
        <w:numPr>
          <w:ilvl w:val="0"/>
          <w:numId w:val="0"/>
        </w:numPr>
        <w:snapToGrid w:val="0"/>
        <w:spacing w:line="336" w:lineRule="auto"/>
        <w:ind w:left="0" w:firstLine="0"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1</w:t>
      </w:r>
      <w:r>
        <w:rPr>
          <w:rFonts w:hint="eastAsia" w:ascii="仿宋_GB2312" w:hAnsi="仿宋_GB2312" w:eastAsia="仿宋_GB2312"/>
          <w:color w:val="auto"/>
          <w:sz w:val="28"/>
          <w:szCs w:val="28"/>
          <w:lang w:eastAsia="zh-CN"/>
        </w:rPr>
        <w:t>）建筑柱基技术规范</w:t>
      </w:r>
      <w:r>
        <w:rPr>
          <w:rFonts w:hint="eastAsia" w:ascii="仿宋_GB2312" w:hAnsi="仿宋_GB2312" w:eastAsia="仿宋_GB2312"/>
          <w:color w:val="auto"/>
          <w:sz w:val="28"/>
          <w:szCs w:val="28"/>
          <w:lang w:eastAsia="zh-CN"/>
        </w:rPr>
        <w:tab/>
      </w:r>
      <w:r>
        <w:rPr>
          <w:rFonts w:hint="eastAsia" w:ascii="仿宋_GB2312" w:hAnsi="仿宋_GB2312" w:eastAsia="仿宋_GB2312"/>
          <w:color w:val="auto"/>
          <w:sz w:val="28"/>
          <w:szCs w:val="28"/>
          <w:lang w:eastAsia="zh-CN"/>
        </w:rPr>
        <w:t>JGJ 94</w:t>
      </w:r>
    </w:p>
    <w:p w14:paraId="1BC163E9">
      <w:pPr>
        <w:numPr>
          <w:ilvl w:val="0"/>
          <w:numId w:val="0"/>
        </w:numPr>
        <w:snapToGrid w:val="0"/>
        <w:spacing w:line="336" w:lineRule="auto"/>
        <w:ind w:left="0" w:firstLine="0"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2</w:t>
      </w:r>
      <w:r>
        <w:rPr>
          <w:rFonts w:hint="eastAsia" w:ascii="仿宋_GB2312" w:hAnsi="仿宋_GB2312" w:eastAsia="仿宋_GB2312"/>
          <w:color w:val="auto"/>
          <w:sz w:val="28"/>
          <w:szCs w:val="28"/>
          <w:lang w:eastAsia="zh-CN"/>
        </w:rPr>
        <w:t xml:space="preserve">）钢结构工程施工质量验收规范     GB 50205         </w:t>
      </w:r>
    </w:p>
    <w:p w14:paraId="1975AA1C">
      <w:pPr>
        <w:numPr>
          <w:ilvl w:val="0"/>
          <w:numId w:val="0"/>
        </w:numPr>
        <w:snapToGrid w:val="0"/>
        <w:spacing w:line="336" w:lineRule="auto"/>
        <w:ind w:left="0" w:firstLine="0"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3</w:t>
      </w:r>
      <w:r>
        <w:rPr>
          <w:rFonts w:hint="eastAsia" w:ascii="仿宋_GB2312" w:hAnsi="仿宋_GB2312" w:eastAsia="仿宋_GB2312"/>
          <w:color w:val="auto"/>
          <w:sz w:val="28"/>
          <w:szCs w:val="28"/>
          <w:lang w:eastAsia="zh-CN"/>
        </w:rPr>
        <w:t xml:space="preserve">）建筑地基基础工程施工质量验收规范 GB 50202           </w:t>
      </w:r>
    </w:p>
    <w:p w14:paraId="54244D13">
      <w:pPr>
        <w:numPr>
          <w:ilvl w:val="0"/>
          <w:numId w:val="0"/>
        </w:numPr>
        <w:snapToGrid w:val="0"/>
        <w:spacing w:line="336" w:lineRule="auto"/>
        <w:ind w:left="425" w:hanging="425"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4</w:t>
      </w:r>
      <w:r>
        <w:rPr>
          <w:rFonts w:hint="eastAsia" w:ascii="仿宋_GB2312" w:hAnsi="仿宋_GB2312" w:eastAsia="仿宋_GB2312"/>
          <w:color w:val="auto"/>
          <w:sz w:val="28"/>
          <w:szCs w:val="28"/>
          <w:lang w:eastAsia="zh-CN"/>
        </w:rPr>
        <w:t xml:space="preserve">）混凝土结构工程施工质量验收规范 GB 50204                </w:t>
      </w:r>
    </w:p>
    <w:p w14:paraId="4E76A44A">
      <w:pPr>
        <w:numPr>
          <w:ilvl w:val="0"/>
          <w:numId w:val="0"/>
        </w:numPr>
        <w:snapToGrid w:val="0"/>
        <w:spacing w:line="336" w:lineRule="auto"/>
        <w:ind w:left="425" w:hanging="425"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5</w:t>
      </w:r>
      <w:r>
        <w:rPr>
          <w:rFonts w:hint="eastAsia" w:ascii="仿宋_GB2312" w:hAnsi="仿宋_GB2312" w:eastAsia="仿宋_GB2312"/>
          <w:color w:val="auto"/>
          <w:sz w:val="28"/>
          <w:szCs w:val="28"/>
          <w:lang w:eastAsia="zh-CN"/>
        </w:rPr>
        <w:t>）混凝土结构通用规范          GB  55008</w:t>
      </w:r>
    </w:p>
    <w:p w14:paraId="4213CA78">
      <w:pPr>
        <w:numPr>
          <w:ilvl w:val="0"/>
          <w:numId w:val="0"/>
        </w:numPr>
        <w:snapToGrid w:val="0"/>
        <w:spacing w:line="336" w:lineRule="auto"/>
        <w:ind w:left="425" w:hanging="425"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6</w:t>
      </w:r>
      <w:r>
        <w:rPr>
          <w:rFonts w:hint="eastAsia" w:ascii="仿宋_GB2312" w:hAnsi="仿宋_GB2312" w:eastAsia="仿宋_GB2312"/>
          <w:color w:val="auto"/>
          <w:sz w:val="28"/>
          <w:szCs w:val="28"/>
          <w:lang w:eastAsia="zh-CN"/>
        </w:rPr>
        <w:t>）混凝土结构工程施工质量验收规范       GB 50204</w:t>
      </w:r>
    </w:p>
    <w:p w14:paraId="5C06067C">
      <w:pPr>
        <w:numPr>
          <w:ilvl w:val="0"/>
          <w:numId w:val="0"/>
        </w:numPr>
        <w:snapToGrid w:val="0"/>
        <w:spacing w:line="336" w:lineRule="auto"/>
        <w:ind w:left="425" w:hanging="425" w:firstLineChars="0"/>
        <w:jc w:val="left"/>
        <w:rPr>
          <w:rFonts w:hint="eastAsia" w:ascii="仿宋_GB2312" w:hAnsi="仿宋_GB2312" w:eastAsia="仿宋_GB2312"/>
          <w:color w:val="auto"/>
          <w:sz w:val="28"/>
          <w:szCs w:val="28"/>
          <w:lang w:eastAsia="zh-CN"/>
        </w:rPr>
      </w:pPr>
      <w:r>
        <w:rPr>
          <w:rFonts w:hint="eastAsia" w:ascii="仿宋_GB2312" w:hAnsi="仿宋_GB2312" w:eastAsia="仿宋_GB2312"/>
          <w:color w:val="auto"/>
          <w:sz w:val="28"/>
          <w:szCs w:val="28"/>
          <w:lang w:eastAsia="zh-CN"/>
        </w:rPr>
        <w:t>（</w:t>
      </w:r>
      <w:r>
        <w:rPr>
          <w:rFonts w:hint="eastAsia" w:ascii="仿宋_GB2312" w:hAnsi="仿宋_GB2312" w:eastAsia="仿宋_GB2312"/>
          <w:color w:val="auto"/>
          <w:sz w:val="28"/>
          <w:szCs w:val="28"/>
          <w:lang w:val="en-US" w:eastAsia="zh-CN"/>
        </w:rPr>
        <w:t>7</w:t>
      </w:r>
      <w:r>
        <w:rPr>
          <w:rFonts w:hint="eastAsia" w:ascii="仿宋_GB2312" w:hAnsi="仿宋_GB2312" w:eastAsia="仿宋_GB2312"/>
          <w:color w:val="auto"/>
          <w:sz w:val="28"/>
          <w:szCs w:val="28"/>
          <w:lang w:eastAsia="zh-CN"/>
        </w:rPr>
        <w:t>）钢结构工程施工质量验收标准      GB 50205</w:t>
      </w:r>
    </w:p>
    <w:p w14:paraId="45EC86ED">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color w:val="auto"/>
          <w:sz w:val="28"/>
          <w:szCs w:val="28"/>
        </w:rPr>
        <w:t>（上述所列规范如有</w:t>
      </w:r>
      <w:r>
        <w:rPr>
          <w:rFonts w:hint="eastAsia" w:ascii="仿宋_GB2312" w:hAnsi="仿宋_GB2312" w:eastAsia="仿宋_GB2312"/>
          <w:sz w:val="28"/>
          <w:szCs w:val="28"/>
        </w:rPr>
        <w:t>新的替代规范，则以新规范为准）。</w:t>
      </w:r>
    </w:p>
    <w:p w14:paraId="1F31AF90">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4、其他</w:t>
      </w:r>
    </w:p>
    <w:p w14:paraId="57DFCE59">
      <w:pPr>
        <w:pStyle w:val="14"/>
        <w:snapToGrid w:val="0"/>
        <w:spacing w:line="336" w:lineRule="auto"/>
        <w:ind w:firstLine="0" w:firstLineChars="0"/>
        <w:rPr>
          <w:rFonts w:hint="eastAsia" w:ascii="仿宋_GB2312" w:hAnsi="仿宋_GB2312" w:eastAsia="仿宋_GB2312"/>
          <w:sz w:val="28"/>
          <w:szCs w:val="28"/>
        </w:rPr>
      </w:pPr>
      <w:r>
        <w:rPr>
          <w:rFonts w:hint="eastAsia" w:ascii="仿宋_GB2312" w:hAnsi="仿宋_GB2312" w:eastAsia="仿宋_GB2312"/>
          <w:sz w:val="28"/>
          <w:szCs w:val="28"/>
        </w:rPr>
        <w:t xml:space="preserve">    承包人进场后</w:t>
      </w:r>
      <w:r>
        <w:rPr>
          <w:rFonts w:hint="eastAsia" w:ascii="仿宋_GB2312" w:hAnsi="仿宋_GB2312" w:eastAsia="仿宋_GB2312"/>
          <w:sz w:val="28"/>
          <w:szCs w:val="28"/>
          <w:lang w:val="en-US" w:eastAsia="zh-CN"/>
        </w:rPr>
        <w:t>7</w:t>
      </w:r>
      <w:r>
        <w:rPr>
          <w:rFonts w:hint="eastAsia" w:ascii="仿宋_GB2312" w:hAnsi="仿宋_GB2312" w:eastAsia="仿宋_GB2312"/>
          <w:sz w:val="28"/>
          <w:szCs w:val="28"/>
        </w:rPr>
        <w:t>个工作日内应提出进度计划及人员组织分工表供业主审核及控管之用。</w:t>
      </w:r>
    </w:p>
    <w:p w14:paraId="46D3479C">
      <w:pPr>
        <w:autoSpaceDN/>
        <w:snapToGrid/>
        <w:spacing w:line="336" w:lineRule="auto"/>
        <w:ind w:firstLine="420" w:firstLineChars="150"/>
        <w:rPr>
          <w:rFonts w:hint="eastAsia" w:ascii="仿宋_GB2312" w:hAnsi="新宋体" w:eastAsia="仿宋_GB2312" w:cs="新宋体"/>
          <w:b/>
          <w:color w:val="000000"/>
          <w:sz w:val="28"/>
          <w:szCs w:val="28"/>
        </w:rPr>
      </w:pPr>
      <w:r>
        <w:rPr>
          <w:rFonts w:hint="eastAsia" w:ascii="仿宋_GB2312" w:eastAsia="仿宋_GB2312"/>
          <w:sz w:val="28"/>
          <w:szCs w:val="28"/>
        </w:rPr>
        <w:t>5、承包商施工期间必须遵守发包人</w:t>
      </w:r>
      <w:r>
        <w:rPr>
          <w:rFonts w:hint="eastAsia" w:ascii="仿宋_GB2312" w:eastAsia="仿宋_GB2312"/>
          <w:sz w:val="28"/>
          <w:szCs w:val="28"/>
          <w:lang w:val="en-US" w:eastAsia="zh-CN"/>
        </w:rPr>
        <w:t>Q</w:t>
      </w:r>
      <w:r>
        <w:rPr>
          <w:rFonts w:hint="eastAsia" w:ascii="仿宋_GB2312" w:eastAsia="仿宋_GB2312"/>
          <w:sz w:val="28"/>
          <w:szCs w:val="28"/>
        </w:rPr>
        <w:t>HSE规定及接受门岗车辆及人员管理规定。</w:t>
      </w:r>
    </w:p>
    <w:p w14:paraId="756ED740">
      <w:pPr>
        <w:autoSpaceDN w:val="0"/>
        <w:snapToGrid w:val="0"/>
        <w:spacing w:line="360" w:lineRule="auto"/>
        <w:rPr>
          <w:rFonts w:hint="eastAsia" w:ascii="仿宋_GB2312" w:hAnsi="新宋体" w:eastAsia="仿宋_GB2312" w:cs="新宋体"/>
          <w:b/>
          <w:color w:val="000000"/>
          <w:sz w:val="28"/>
          <w:szCs w:val="28"/>
        </w:rPr>
      </w:pPr>
      <w:r>
        <w:rPr>
          <w:rFonts w:hint="eastAsia" w:ascii="仿宋_GB2312" w:hAnsi="新宋体" w:eastAsia="仿宋_GB2312" w:cs="新宋体"/>
          <w:b/>
          <w:color w:val="000000"/>
          <w:sz w:val="28"/>
          <w:szCs w:val="28"/>
        </w:rPr>
        <w:t>三、工作内容：</w:t>
      </w:r>
    </w:p>
    <w:p w14:paraId="77864D2F">
      <w:pPr>
        <w:numPr>
          <w:ilvl w:val="7"/>
          <w:numId w:val="2"/>
        </w:numPr>
        <w:tabs>
          <w:tab w:val="left" w:pos="0"/>
          <w:tab w:val="clear" w:pos="502"/>
        </w:tabs>
        <w:spacing w:line="360" w:lineRule="auto"/>
        <w:ind w:left="0" w:firstLine="419" w:firstLineChars="152"/>
        <w:rPr>
          <w:rFonts w:hint="eastAsia" w:ascii="仿宋_GB2312" w:hAnsi="仿宋_GB2312" w:eastAsia="仿宋_GB2312"/>
          <w:sz w:val="28"/>
          <w:szCs w:val="28"/>
        </w:rPr>
      </w:pPr>
      <w:r>
        <w:rPr>
          <w:rFonts w:hint="eastAsia" w:ascii="仿宋_GB2312" w:hAnsi="宋体" w:eastAsia="仿宋_GB2312"/>
          <w:spacing w:val="-2"/>
          <w:sz w:val="28"/>
          <w:szCs w:val="28"/>
        </w:rPr>
        <w:t>承包商需要提供工程所需的管理人员、工人、施工</w:t>
      </w:r>
      <w:r>
        <w:rPr>
          <w:rFonts w:hint="eastAsia" w:ascii="仿宋_GB2312" w:hAnsi="宋体" w:eastAsia="仿宋_GB2312"/>
          <w:spacing w:val="-2"/>
          <w:sz w:val="28"/>
          <w:szCs w:val="28"/>
          <w:lang w:eastAsia="zh-CN"/>
        </w:rPr>
        <w:t>主材、</w:t>
      </w:r>
      <w:r>
        <w:rPr>
          <w:rFonts w:hint="eastAsia" w:ascii="仿宋_GB2312" w:hAnsi="宋体" w:eastAsia="仿宋_GB2312"/>
          <w:spacing w:val="-2"/>
          <w:sz w:val="28"/>
          <w:szCs w:val="28"/>
        </w:rPr>
        <w:t>辅材及耗材、施工机具、检试验设备、安全设施、仓库、临时设施</w:t>
      </w:r>
      <w:r>
        <w:rPr>
          <w:rFonts w:hint="eastAsia" w:ascii="仿宋_GB2312" w:hAnsi="宋体" w:eastAsia="仿宋_GB2312"/>
          <w:spacing w:val="-2"/>
          <w:sz w:val="28"/>
          <w:szCs w:val="28"/>
          <w:lang w:eastAsia="zh-CN"/>
        </w:rPr>
        <w:t>（</w:t>
      </w:r>
      <w:r>
        <w:rPr>
          <w:rFonts w:hint="eastAsia" w:ascii="仿宋_GB2312" w:hAnsi="宋体" w:eastAsia="仿宋_GB2312"/>
          <w:spacing w:val="-2"/>
          <w:sz w:val="28"/>
          <w:szCs w:val="28"/>
        </w:rPr>
        <w:t>手段</w:t>
      </w:r>
      <w:r>
        <w:rPr>
          <w:rFonts w:hint="eastAsia" w:ascii="仿宋_GB2312" w:hAnsi="宋体" w:eastAsia="仿宋_GB2312"/>
          <w:spacing w:val="-2"/>
          <w:sz w:val="28"/>
          <w:szCs w:val="28"/>
          <w:lang w:eastAsia="zh-CN"/>
        </w:rPr>
        <w:t>）、</w:t>
      </w:r>
      <w:r>
        <w:rPr>
          <w:rFonts w:hint="eastAsia" w:ascii="仿宋_GB2312" w:hAnsi="宋体" w:eastAsia="仿宋_GB2312"/>
          <w:spacing w:val="-2"/>
          <w:sz w:val="28"/>
          <w:szCs w:val="28"/>
        </w:rPr>
        <w:t>工程用料等；</w:t>
      </w:r>
    </w:p>
    <w:p w14:paraId="6701C9C6">
      <w:pPr>
        <w:numPr>
          <w:ilvl w:val="7"/>
          <w:numId w:val="2"/>
        </w:numPr>
        <w:tabs>
          <w:tab w:val="left" w:pos="0"/>
          <w:tab w:val="clear" w:pos="502"/>
        </w:tabs>
        <w:spacing w:line="360" w:lineRule="auto"/>
        <w:ind w:left="0" w:firstLine="425" w:firstLineChars="152"/>
        <w:rPr>
          <w:rFonts w:hint="eastAsia" w:ascii="仿宋_GB2312" w:hAnsi="仿宋_GB2312" w:eastAsia="仿宋_GB2312"/>
          <w:sz w:val="28"/>
          <w:szCs w:val="28"/>
        </w:rPr>
      </w:pPr>
      <w:r>
        <w:rPr>
          <w:rFonts w:hint="eastAsia" w:ascii="仿宋_GB2312" w:hAnsi="仿宋_GB2312" w:eastAsia="仿宋_GB2312"/>
          <w:sz w:val="28"/>
          <w:szCs w:val="28"/>
        </w:rPr>
        <w:t>施工承包商的工作应包括但不局限于预制、安装、检验、试验、质量控制及质量保证、计划及施工监督</w:t>
      </w:r>
      <w:r>
        <w:rPr>
          <w:rFonts w:hint="eastAsia" w:ascii="仿宋_GB2312" w:hAnsi="仿宋_GB2312" w:eastAsia="仿宋_GB2312"/>
          <w:sz w:val="28"/>
          <w:szCs w:val="28"/>
          <w:lang w:eastAsia="zh-CN"/>
        </w:rPr>
        <w:t>。</w:t>
      </w:r>
    </w:p>
    <w:p w14:paraId="0E3CBA4B">
      <w:pPr>
        <w:numPr>
          <w:ilvl w:val="7"/>
          <w:numId w:val="2"/>
        </w:numPr>
        <w:tabs>
          <w:tab w:val="left" w:pos="0"/>
          <w:tab w:val="clear" w:pos="502"/>
        </w:tabs>
        <w:spacing w:line="360" w:lineRule="auto"/>
        <w:ind w:left="0" w:firstLine="425" w:firstLineChars="152"/>
        <w:rPr>
          <w:rFonts w:hint="eastAsia" w:ascii="仿宋_GB2312" w:hAnsi="仿宋_GB2312" w:eastAsia="仿宋_GB2312"/>
          <w:sz w:val="28"/>
          <w:szCs w:val="28"/>
        </w:rPr>
      </w:pPr>
      <w:r>
        <w:rPr>
          <w:rFonts w:hint="eastAsia" w:ascii="仿宋_GB2312" w:hAnsi="仿宋_GB2312" w:eastAsia="仿宋_GB2312"/>
          <w:sz w:val="28"/>
          <w:szCs w:val="28"/>
        </w:rPr>
        <w:t>施工承包商应负责其工程范围内所有一切对内的界面（内部界面）及与其他承包商相关界面（外部界面）的有关工作，为促进工作效率、保证质量和安全采取的措施，以及工程成果保护等工作。</w:t>
      </w:r>
    </w:p>
    <w:p w14:paraId="5A588944">
      <w:pPr>
        <w:numPr>
          <w:ilvl w:val="7"/>
          <w:numId w:val="2"/>
        </w:numPr>
        <w:tabs>
          <w:tab w:val="left" w:pos="0"/>
        </w:tabs>
        <w:spacing w:line="360" w:lineRule="auto"/>
        <w:ind w:left="0" w:firstLine="425" w:firstLineChars="152"/>
        <w:rPr>
          <w:rFonts w:hint="eastAsia" w:ascii="仿宋_GB2312" w:hAnsi="仿宋_GB2312" w:eastAsia="仿宋_GB2312"/>
          <w:color w:val="000000"/>
          <w:sz w:val="28"/>
          <w:szCs w:val="28"/>
        </w:rPr>
      </w:pPr>
      <w:r>
        <w:rPr>
          <w:rFonts w:hint="eastAsia" w:ascii="仿宋_GB2312" w:eastAsia="仿宋_GB2312" w:cs="宋体"/>
          <w:color w:val="000000"/>
          <w:kern w:val="0"/>
          <w:sz w:val="28"/>
          <w:szCs w:val="28"/>
        </w:rPr>
        <w:t>所有材料的采购。</w:t>
      </w:r>
    </w:p>
    <w:p w14:paraId="782AA5C3">
      <w:pPr>
        <w:numPr>
          <w:ilvl w:val="7"/>
          <w:numId w:val="2"/>
        </w:numPr>
        <w:tabs>
          <w:tab w:val="left" w:pos="0"/>
        </w:tabs>
        <w:spacing w:line="360" w:lineRule="auto"/>
        <w:ind w:left="0" w:firstLine="425" w:firstLineChars="152"/>
        <w:rPr>
          <w:rFonts w:hint="eastAsia" w:ascii="仿宋_GB2312" w:hAnsi="仿宋_GB2312" w:eastAsia="仿宋_GB2312"/>
          <w:sz w:val="28"/>
          <w:szCs w:val="28"/>
        </w:rPr>
      </w:pPr>
      <w:r>
        <w:rPr>
          <w:rFonts w:hint="eastAsia" w:ascii="仿宋_GB2312" w:hAnsi="仿宋_GB2312" w:eastAsia="仿宋_GB2312"/>
          <w:sz w:val="28"/>
          <w:szCs w:val="28"/>
        </w:rPr>
        <w:t>所有运抵施工现场（含设备堆场）的本装置设备/材料，</w:t>
      </w:r>
      <w:r>
        <w:rPr>
          <w:rFonts w:hint="eastAsia" w:ascii="仿宋_GB2312" w:hAnsi="宋体" w:eastAsia="仿宋_GB2312"/>
          <w:spacing w:val="-2"/>
          <w:sz w:val="28"/>
          <w:szCs w:val="28"/>
        </w:rPr>
        <w:t>承担接收、装卸、将其运到使用地点、保管、短途运输以及二次或多次倒运等工作。</w:t>
      </w:r>
    </w:p>
    <w:p w14:paraId="48416702">
      <w:pPr>
        <w:numPr>
          <w:ilvl w:val="7"/>
          <w:numId w:val="2"/>
        </w:numPr>
        <w:tabs>
          <w:tab w:val="left" w:pos="0"/>
        </w:tabs>
        <w:spacing w:line="360" w:lineRule="auto"/>
        <w:ind w:left="0" w:firstLine="419" w:firstLineChars="152"/>
        <w:rPr>
          <w:rFonts w:hint="eastAsia" w:ascii="仿宋_GB2312" w:hAnsi="仿宋_GB2312" w:eastAsia="仿宋_GB2312"/>
          <w:sz w:val="28"/>
          <w:szCs w:val="28"/>
        </w:rPr>
      </w:pPr>
      <w:r>
        <w:rPr>
          <w:rFonts w:hint="eastAsia" w:ascii="仿宋_GB2312" w:hAnsi="宋体" w:eastAsia="仿宋_GB2312"/>
          <w:spacing w:val="-2"/>
          <w:sz w:val="28"/>
          <w:szCs w:val="28"/>
        </w:rPr>
        <w:t>承包商负责所有本标段材料、设备的保管，承包商负责建立符合保存要求的仓库，确保不发生损坏和丢失，一切责任由承包商负责。</w:t>
      </w:r>
    </w:p>
    <w:p w14:paraId="32B87B53">
      <w:pPr>
        <w:numPr>
          <w:ilvl w:val="7"/>
          <w:numId w:val="2"/>
        </w:numPr>
        <w:tabs>
          <w:tab w:val="left" w:pos="0"/>
        </w:tabs>
        <w:spacing w:line="360" w:lineRule="auto"/>
        <w:ind w:left="0" w:firstLine="419" w:firstLineChars="152"/>
        <w:rPr>
          <w:rFonts w:hint="eastAsia" w:ascii="仿宋_GB2312" w:hAnsi="仿宋_GB2312" w:eastAsia="仿宋_GB2312"/>
          <w:sz w:val="28"/>
          <w:szCs w:val="28"/>
        </w:rPr>
      </w:pPr>
      <w:r>
        <w:rPr>
          <w:rFonts w:hint="eastAsia" w:ascii="仿宋_GB2312" w:hAnsi="宋体" w:eastAsia="仿宋_GB2312"/>
          <w:spacing w:val="-2"/>
          <w:sz w:val="28"/>
          <w:szCs w:val="28"/>
        </w:rPr>
        <w:t>承包商应负责按照健康、安全和环境以及保安管理的要求执行本工作，并且还应遵守所有适用的中国法律、法规、规范和标准。有价值的废余料送至业主规定的堆场，无价值的废余料及垃圾外运并按照当地政府市政及环保部门的要求进行妥善处理。</w:t>
      </w:r>
    </w:p>
    <w:p w14:paraId="7B0B4AA8">
      <w:pPr>
        <w:numPr>
          <w:ilvl w:val="7"/>
          <w:numId w:val="2"/>
        </w:numPr>
        <w:tabs>
          <w:tab w:val="left" w:pos="0"/>
        </w:tabs>
        <w:spacing w:line="360" w:lineRule="auto"/>
        <w:ind w:left="0" w:firstLine="419" w:firstLineChars="152"/>
        <w:rPr>
          <w:rFonts w:hint="eastAsia" w:ascii="仿宋_GB2312" w:hAnsi="仿宋_GB2312" w:eastAsia="仿宋_GB2312"/>
          <w:sz w:val="28"/>
          <w:szCs w:val="28"/>
        </w:rPr>
      </w:pPr>
      <w:r>
        <w:rPr>
          <w:rFonts w:hint="eastAsia" w:ascii="仿宋_GB2312" w:hAnsi="宋体" w:eastAsia="仿宋_GB2312"/>
          <w:spacing w:val="-2"/>
          <w:sz w:val="28"/>
          <w:szCs w:val="28"/>
        </w:rPr>
        <w:t>承包商所采购材料的入场理化检验；</w:t>
      </w:r>
    </w:p>
    <w:p w14:paraId="2676972D">
      <w:pPr>
        <w:numPr>
          <w:ilvl w:val="7"/>
          <w:numId w:val="2"/>
        </w:numPr>
        <w:tabs>
          <w:tab w:val="left" w:pos="0"/>
        </w:tabs>
        <w:autoSpaceDN/>
        <w:snapToGrid/>
        <w:spacing w:line="360" w:lineRule="auto"/>
        <w:ind w:left="0" w:firstLine="419" w:firstLineChars="152"/>
        <w:rPr>
          <w:rFonts w:hint="eastAsia" w:ascii="仿宋_GB2312" w:hAnsi="宋体" w:eastAsia="仿宋_GB2312" w:cs="Times New Roman"/>
          <w:spacing w:val="-2"/>
          <w:sz w:val="28"/>
          <w:szCs w:val="28"/>
        </w:rPr>
      </w:pPr>
      <w:r>
        <w:rPr>
          <w:rFonts w:hint="eastAsia" w:ascii="仿宋_GB2312" w:hAnsi="宋体" w:eastAsia="仿宋_GB2312" w:cs="Times New Roman"/>
          <w:color w:val="000000"/>
          <w:spacing w:val="-2"/>
          <w:sz w:val="28"/>
          <w:szCs w:val="28"/>
        </w:rPr>
        <w:t>完成</w:t>
      </w:r>
      <w:r>
        <w:rPr>
          <w:rFonts w:hint="eastAsia" w:ascii="仿宋_GB2312" w:hAnsi="宋体" w:eastAsia="仿宋_GB2312" w:cs="Times New Roman"/>
          <w:spacing w:val="-2"/>
          <w:sz w:val="28"/>
          <w:szCs w:val="28"/>
        </w:rPr>
        <w:t>满足项目要求的竣工资料。所交付竣工资料之格式与要求应符合相关施工规范和《石油化工工程建设交工技术文件规定》（SH3503-2001）、《石油化工建设工程监理规范》（SHT 3903-2004）。</w:t>
      </w:r>
    </w:p>
    <w:p w14:paraId="3EAEA32D">
      <w:pPr>
        <w:numPr>
          <w:ilvl w:val="7"/>
          <w:numId w:val="2"/>
        </w:numPr>
        <w:tabs>
          <w:tab w:val="left" w:pos="0"/>
        </w:tabs>
        <w:spacing w:after="0" w:afterLines="0" w:line="360" w:lineRule="auto"/>
        <w:ind w:left="0" w:firstLine="419" w:firstLineChars="152"/>
        <w:rPr>
          <w:rFonts w:hint="eastAsia" w:ascii="仿宋_GB2312" w:hAnsi="宋体" w:eastAsia="仿宋_GB2312" w:cs="Times New Roman"/>
          <w:spacing w:val="-2"/>
          <w:sz w:val="28"/>
          <w:szCs w:val="28"/>
        </w:rPr>
      </w:pPr>
      <w:r>
        <w:rPr>
          <w:rFonts w:hint="eastAsia" w:ascii="仿宋_GB2312" w:hAnsi="宋体" w:eastAsia="仿宋_GB2312" w:cs="Times New Roman"/>
          <w:spacing w:val="-2"/>
          <w:kern w:val="2"/>
          <w:sz w:val="28"/>
          <w:szCs w:val="28"/>
        </w:rPr>
        <w:t>其他特殊发包要求：</w:t>
      </w:r>
    </w:p>
    <w:p w14:paraId="4368A483">
      <w:pPr>
        <w:numPr>
          <w:ilvl w:val="0"/>
          <w:numId w:val="3"/>
        </w:numPr>
        <w:tabs>
          <w:tab w:val="left" w:pos="180"/>
        </w:tabs>
        <w:autoSpaceDE w:val="0"/>
        <w:autoSpaceDN w:val="0"/>
        <w:adjustRightInd w:val="0"/>
        <w:spacing w:line="360" w:lineRule="auto"/>
        <w:ind w:left="358" w:hanging="358" w:hangingChars="128"/>
        <w:jc w:val="left"/>
        <w:rPr>
          <w:rFonts w:hint="eastAsia" w:ascii="仿宋_GB2312" w:eastAsia="仿宋_GB2312"/>
          <w:b w:val="0"/>
          <w:bCs w:val="0"/>
          <w:color w:val="000000"/>
          <w:sz w:val="28"/>
          <w:szCs w:val="28"/>
        </w:rPr>
      </w:pPr>
      <w:r>
        <w:rPr>
          <w:rFonts w:hint="eastAsia" w:ascii="仿宋_GB2312" w:eastAsia="仿宋_GB2312"/>
          <w:b w:val="0"/>
          <w:bCs w:val="0"/>
          <w:color w:val="000000"/>
          <w:sz w:val="28"/>
          <w:szCs w:val="28"/>
        </w:rPr>
        <w:t>本区施工中产生多余的残土，由厂商负责运出，运出后厂商负责推平，不可堆积，费用由承包商自行负担。</w:t>
      </w:r>
    </w:p>
    <w:p w14:paraId="55B57797">
      <w:pPr>
        <w:numPr>
          <w:ilvl w:val="0"/>
          <w:numId w:val="3"/>
        </w:numPr>
        <w:tabs>
          <w:tab w:val="left" w:pos="180"/>
        </w:tabs>
        <w:autoSpaceDE w:val="0"/>
        <w:autoSpaceDN w:val="0"/>
        <w:adjustRightInd w:val="0"/>
        <w:spacing w:line="360" w:lineRule="auto"/>
        <w:ind w:left="358" w:hanging="358" w:hangingChars="128"/>
        <w:jc w:val="left"/>
        <w:rPr>
          <w:rFonts w:hint="eastAsia" w:ascii="仿宋_GB2312" w:eastAsia="仿宋_GB2312"/>
          <w:b w:val="0"/>
          <w:bCs w:val="0"/>
          <w:sz w:val="28"/>
          <w:szCs w:val="28"/>
        </w:rPr>
      </w:pPr>
      <w:r>
        <w:rPr>
          <w:rFonts w:hint="eastAsia" w:ascii="仿宋_GB2312" w:eastAsia="仿宋_GB2312"/>
          <w:b w:val="0"/>
          <w:bCs w:val="0"/>
          <w:color w:val="000000"/>
          <w:sz w:val="28"/>
          <w:szCs w:val="28"/>
        </w:rPr>
        <w:t>本区地下水丰富，开挖构筑物基础承台及集水井等结构时必须</w:t>
      </w:r>
      <w:r>
        <w:rPr>
          <w:rFonts w:hint="eastAsia" w:ascii="仿宋_GB2312" w:eastAsia="仿宋_GB2312"/>
          <w:b w:val="0"/>
          <w:bCs w:val="0"/>
          <w:color w:val="000000"/>
          <w:sz w:val="28"/>
          <w:szCs w:val="28"/>
          <w:lang w:eastAsia="zh-CN"/>
        </w:rPr>
        <w:t>采取</w:t>
      </w:r>
      <w:r>
        <w:rPr>
          <w:rFonts w:hint="eastAsia" w:ascii="仿宋_GB2312" w:eastAsia="仿宋_GB2312"/>
          <w:b w:val="0"/>
          <w:bCs w:val="0"/>
          <w:color w:val="000000"/>
          <w:sz w:val="28"/>
          <w:szCs w:val="28"/>
        </w:rPr>
        <w:t>降水措施，此费用包含于工程费报价内。</w:t>
      </w:r>
    </w:p>
    <w:p w14:paraId="79B78821">
      <w:pPr>
        <w:numPr>
          <w:ilvl w:val="0"/>
          <w:numId w:val="3"/>
        </w:numPr>
        <w:tabs>
          <w:tab w:val="left" w:pos="180"/>
        </w:tabs>
        <w:autoSpaceDE w:val="0"/>
        <w:autoSpaceDN w:val="0"/>
        <w:adjustRightInd w:val="0"/>
        <w:spacing w:line="360" w:lineRule="auto"/>
        <w:ind w:left="358" w:hanging="358" w:hangingChars="128"/>
        <w:jc w:val="left"/>
        <w:rPr>
          <w:rFonts w:hint="eastAsia" w:ascii="仿宋_GB2312" w:eastAsia="仿宋_GB2312"/>
          <w:b w:val="0"/>
          <w:bCs w:val="0"/>
          <w:sz w:val="28"/>
          <w:szCs w:val="28"/>
        </w:rPr>
      </w:pPr>
      <w:r>
        <w:rPr>
          <w:rFonts w:hint="eastAsia" w:ascii="仿宋_GB2312" w:eastAsia="仿宋_GB2312"/>
          <w:b w:val="0"/>
          <w:bCs w:val="0"/>
          <w:sz w:val="28"/>
          <w:szCs w:val="28"/>
          <w:lang w:val="en-US" w:eastAsia="zh-CN"/>
        </w:rPr>
        <w:t>排洪渠施工部分涉及临水作业，必须考虑临水作业安全措施费用，此费用包含于工程费报价内。</w:t>
      </w:r>
    </w:p>
    <w:p w14:paraId="38E07B32">
      <w:pPr>
        <w:spacing w:line="336" w:lineRule="auto"/>
        <w:rPr>
          <w:rFonts w:hint="eastAsia" w:ascii="仿宋_GB2312" w:eastAsia="仿宋_GB2312"/>
          <w:b/>
          <w:sz w:val="28"/>
          <w:szCs w:val="28"/>
        </w:rPr>
      </w:pPr>
      <w:r>
        <w:rPr>
          <w:rFonts w:hint="eastAsia" w:ascii="仿宋_GB2312" w:eastAsia="仿宋_GB2312"/>
          <w:b/>
          <w:sz w:val="28"/>
          <w:szCs w:val="28"/>
        </w:rPr>
        <w:t>四、</w:t>
      </w:r>
      <w:r>
        <w:rPr>
          <w:rFonts w:hint="eastAsia" w:ascii="仿宋_GB2312" w:eastAsia="仿宋_GB2312"/>
          <w:b/>
          <w:sz w:val="28"/>
          <w:szCs w:val="28"/>
          <w:lang w:eastAsia="zh-CN"/>
        </w:rPr>
        <w:t>参考</w:t>
      </w:r>
      <w:r>
        <w:rPr>
          <w:rFonts w:hint="eastAsia" w:ascii="仿宋_GB2312" w:eastAsia="仿宋_GB2312"/>
          <w:b/>
          <w:sz w:val="28"/>
          <w:szCs w:val="28"/>
        </w:rPr>
        <w:t>品牌要求：</w:t>
      </w:r>
    </w:p>
    <w:p w14:paraId="776CF1FA">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rPr>
        <w:t>1、本工程所用材料及设备的技术指标及质量均达到国家强制性标准，并符合施工图设计文件要求、符合国家有关规范要求；随附出厂合格证、检测报告或相关质量证明文件；同时所有材料进场前须提供样品供本公司确认，且须依相关规范及当地法规要求抽样送有资质之检测机构检测合格后方可使用，所需检测费用含于报价中综合考虑，不另计费。未经确认和检测而使用之材料所造成的损失和后果一概由承包商负责。</w:t>
      </w:r>
    </w:p>
    <w:p w14:paraId="024E5521">
      <w:pPr>
        <w:spacing w:line="336" w:lineRule="auto"/>
        <w:ind w:firstLine="560" w:firstLineChars="200"/>
        <w:rPr>
          <w:rFonts w:hint="eastAsia" w:ascii="仿宋_GB2312" w:eastAsia="仿宋_GB2312"/>
          <w:b/>
          <w:sz w:val="28"/>
          <w:szCs w:val="28"/>
        </w:rPr>
      </w:pPr>
      <w:r>
        <w:rPr>
          <w:rFonts w:hint="eastAsia" w:ascii="仿宋_GB2312" w:hAnsi="新宋体" w:eastAsia="仿宋_GB2312" w:cs="新宋体"/>
          <w:color w:val="000000"/>
          <w:sz w:val="28"/>
          <w:szCs w:val="28"/>
        </w:rPr>
        <w:t>2、本工程所用材料及设备，除招标人另有要求外，由投标人自行采购；为保证主要建材的供货质量，未明确品牌的主要材</w:t>
      </w:r>
      <w:r>
        <w:rPr>
          <w:rFonts w:hint="eastAsia" w:ascii="仿宋_GB2312" w:hAnsi="新宋体" w:eastAsia="仿宋_GB2312" w:cs="新宋体"/>
          <w:color w:val="000000"/>
          <w:sz w:val="28"/>
          <w:szCs w:val="28"/>
          <w:lang w:eastAsia="zh-CN"/>
        </w:rPr>
        <w:t>料和</w:t>
      </w:r>
      <w:r>
        <w:rPr>
          <w:rFonts w:hint="eastAsia" w:ascii="仿宋_GB2312" w:hAnsi="新宋体" w:eastAsia="仿宋_GB2312" w:cs="新宋体"/>
          <w:color w:val="000000"/>
          <w:sz w:val="28"/>
          <w:szCs w:val="28"/>
        </w:rPr>
        <w:t>设备，发包人与承办人协商后确定与招标控制价价格相当或不低于的主材设备品牌，并经招标人同意进行采购和施工</w:t>
      </w:r>
      <w:r>
        <w:rPr>
          <w:rFonts w:hint="eastAsia" w:ascii="仿宋_GB2312" w:hAnsi="新宋体" w:eastAsia="仿宋_GB2312" w:cs="新宋体"/>
          <w:color w:val="000000"/>
          <w:sz w:val="28"/>
          <w:szCs w:val="28"/>
          <w:lang w:eastAsia="zh-CN"/>
        </w:rPr>
        <w:t>。</w:t>
      </w:r>
    </w:p>
    <w:p w14:paraId="137A7F68">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rPr>
        <w:t>2.1 本工程所使用的钢筋</w:t>
      </w:r>
      <w:r>
        <w:rPr>
          <w:rFonts w:hint="eastAsia" w:ascii="仿宋_GB2312" w:hAnsi="新宋体" w:eastAsia="仿宋_GB2312" w:cs="新宋体"/>
          <w:color w:val="000000"/>
          <w:sz w:val="28"/>
          <w:szCs w:val="28"/>
          <w:lang w:eastAsia="zh-CN"/>
        </w:rPr>
        <w:t>参考</w:t>
      </w:r>
      <w:r>
        <w:rPr>
          <w:rFonts w:hint="eastAsia" w:ascii="仿宋_GB2312" w:hAnsi="新宋体" w:eastAsia="仿宋_GB2312" w:cs="新宋体"/>
          <w:color w:val="000000"/>
          <w:sz w:val="28"/>
          <w:szCs w:val="28"/>
        </w:rPr>
        <w:t>品牌为三钢、首钢、众达、邯钢、宝钢；</w:t>
      </w:r>
    </w:p>
    <w:p w14:paraId="450EF54F">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rPr>
        <w:t xml:space="preserve">2.2 </w:t>
      </w:r>
      <w:r>
        <w:rPr>
          <w:rFonts w:hint="eastAsia" w:ascii="仿宋_GB2312" w:hAnsi="仿宋_GB2312" w:eastAsia="仿宋_GB2312"/>
          <w:sz w:val="28"/>
          <w:szCs w:val="28"/>
        </w:rPr>
        <w:t>本工程钢板要求</w:t>
      </w:r>
      <w:r>
        <w:rPr>
          <w:rFonts w:hint="eastAsia" w:ascii="仿宋_GB2312" w:hAnsi="仿宋_GB2312" w:eastAsia="仿宋_GB2312"/>
          <w:sz w:val="28"/>
          <w:szCs w:val="28"/>
          <w:lang w:eastAsia="zh-CN"/>
        </w:rPr>
        <w:t>参考品牌</w:t>
      </w:r>
      <w:r>
        <w:rPr>
          <w:rFonts w:hint="eastAsia" w:ascii="仿宋_GB2312" w:hAnsi="仿宋_GB2312" w:eastAsia="仿宋_GB2312"/>
          <w:sz w:val="28"/>
          <w:szCs w:val="28"/>
        </w:rPr>
        <w:t>采用</w:t>
      </w:r>
      <w:r>
        <w:rPr>
          <w:rFonts w:hint="eastAsia" w:ascii="仿宋_GB2312" w:hAnsi="仿宋_GB2312" w:eastAsia="仿宋_GB2312"/>
          <w:color w:val="auto"/>
          <w:sz w:val="28"/>
          <w:szCs w:val="28"/>
        </w:rPr>
        <w:t>宝钢、鞍钢、首钢、马钢等</w:t>
      </w:r>
      <w:r>
        <w:rPr>
          <w:rFonts w:hint="eastAsia" w:ascii="仿宋_GB2312" w:hAnsi="仿宋_GB2312" w:eastAsia="仿宋_GB2312"/>
          <w:sz w:val="28"/>
          <w:szCs w:val="28"/>
        </w:rPr>
        <w:t>国家大型企业产品，但需经发包方确认；</w:t>
      </w:r>
    </w:p>
    <w:p w14:paraId="678FBFF3">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rPr>
        <w:t>2.3 本工程所使用的水泥必须为旋窑水泥，</w:t>
      </w:r>
      <w:r>
        <w:rPr>
          <w:rFonts w:hint="eastAsia" w:ascii="仿宋_GB2312" w:hAnsi="新宋体" w:eastAsia="仿宋_GB2312" w:cs="新宋体"/>
          <w:color w:val="000000"/>
          <w:sz w:val="28"/>
          <w:szCs w:val="28"/>
          <w:lang w:eastAsia="zh-CN"/>
        </w:rPr>
        <w:t>参考</w:t>
      </w:r>
      <w:r>
        <w:rPr>
          <w:rFonts w:hint="eastAsia" w:ascii="仿宋_GB2312" w:hAnsi="新宋体" w:eastAsia="仿宋_GB2312" w:cs="新宋体"/>
          <w:color w:val="000000"/>
          <w:sz w:val="28"/>
          <w:szCs w:val="28"/>
        </w:rPr>
        <w:t>品牌为海螺、闽福、三德、华润、春驰；砂必须为中粗河砂（须根据质检要求提供检验批报告）；</w:t>
      </w:r>
    </w:p>
    <w:p w14:paraId="6492A0BC">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rPr>
        <w:t>3、</w:t>
      </w:r>
      <w:r>
        <w:rPr>
          <w:rFonts w:hint="eastAsia" w:ascii="仿宋_GB2312" w:hAnsi="新宋体" w:eastAsia="仿宋_GB2312" w:cs="新宋体"/>
          <w:color w:val="000000"/>
          <w:sz w:val="28"/>
          <w:szCs w:val="28"/>
          <w:lang w:eastAsia="zh-CN"/>
        </w:rPr>
        <w:t>其余</w:t>
      </w:r>
      <w:r>
        <w:rPr>
          <w:rFonts w:hint="eastAsia" w:ascii="仿宋_GB2312" w:hAnsi="新宋体" w:eastAsia="仿宋_GB2312" w:cs="新宋体"/>
          <w:color w:val="000000"/>
          <w:sz w:val="28"/>
          <w:szCs w:val="28"/>
        </w:rPr>
        <w:t>材料品牌</w:t>
      </w:r>
      <w:r>
        <w:rPr>
          <w:rFonts w:hint="eastAsia" w:ascii="仿宋_GB2312" w:hAnsi="新宋体" w:eastAsia="仿宋_GB2312" w:cs="新宋体"/>
          <w:color w:val="000000"/>
          <w:sz w:val="28"/>
          <w:szCs w:val="28"/>
          <w:lang w:eastAsia="zh-CN"/>
        </w:rPr>
        <w:t>应满足此次招标的短名单推荐内容，提报后</w:t>
      </w:r>
      <w:r>
        <w:rPr>
          <w:rFonts w:hint="eastAsia" w:ascii="仿宋_GB2312" w:hAnsi="新宋体" w:eastAsia="仿宋_GB2312" w:cs="新宋体"/>
          <w:color w:val="000000"/>
          <w:sz w:val="28"/>
          <w:szCs w:val="28"/>
        </w:rPr>
        <w:t>由业主确认，待认可后方可进场。</w:t>
      </w:r>
    </w:p>
    <w:p w14:paraId="7D6C13F3">
      <w:pPr>
        <w:autoSpaceDN w:val="0"/>
        <w:snapToGrid w:val="0"/>
        <w:spacing w:line="360" w:lineRule="auto"/>
        <w:ind w:firstLine="560" w:firstLineChars="200"/>
        <w:rPr>
          <w:rFonts w:hint="eastAsia" w:ascii="仿宋_GB2312" w:hAnsi="新宋体" w:eastAsia="仿宋_GB2312" w:cs="新宋体"/>
          <w:color w:val="000000"/>
          <w:sz w:val="28"/>
          <w:szCs w:val="28"/>
        </w:rPr>
      </w:pPr>
      <w:r>
        <w:rPr>
          <w:rFonts w:hint="eastAsia" w:ascii="仿宋_GB2312" w:hAnsi="新宋体" w:eastAsia="仿宋_GB2312" w:cs="新宋体"/>
          <w:color w:val="000000"/>
          <w:sz w:val="28"/>
          <w:szCs w:val="28"/>
          <w:lang w:val="en-US" w:eastAsia="zh-CN"/>
        </w:rPr>
        <w:t>4</w:t>
      </w:r>
      <w:r>
        <w:rPr>
          <w:rFonts w:hint="eastAsia" w:ascii="仿宋_GB2312" w:hAnsi="新宋体" w:eastAsia="仿宋_GB2312" w:cs="新宋体"/>
          <w:color w:val="000000"/>
          <w:sz w:val="28"/>
          <w:szCs w:val="28"/>
        </w:rPr>
        <w:t>、为杜绝发生投标商用大品牌低端产品充数现象，厂商投标时须列明产品所选用品牌及型号，待招标人确认后作为投标执行依据。如投标人认为不符合招标要求的，投标人必须无条件更改直至符合招标人要求。</w:t>
      </w:r>
    </w:p>
    <w:p w14:paraId="1B39648C">
      <w:pPr>
        <w:keepNext w:val="0"/>
        <w:keepLines w:val="0"/>
        <w:pageBreakBefore w:val="0"/>
        <w:widowControl w:val="0"/>
        <w:kinsoku/>
        <w:wordWrap/>
        <w:overflowPunct/>
        <w:topLinePunct w:val="0"/>
        <w:autoSpaceDE/>
        <w:autoSpaceDN w:val="0"/>
        <w:bidi w:val="0"/>
        <w:adjustRightInd/>
        <w:snapToGrid w:val="0"/>
        <w:spacing w:before="150" w:beforeLines="0" w:after="150" w:afterLines="0" w:line="288" w:lineRule="auto"/>
        <w:ind w:left="0" w:leftChars="0" w:right="0" w:rightChars="0" w:firstLine="0" w:firstLineChars="0"/>
        <w:jc w:val="both"/>
        <w:textAlignment w:val="auto"/>
        <w:outlineLvl w:val="9"/>
        <w:rPr>
          <w:rFonts w:hint="eastAsia" w:ascii="仿宋_GB2312" w:hAnsi="仿宋_GB2312" w:eastAsia="仿宋_GB2312"/>
          <w:b/>
          <w:bCs/>
          <w:sz w:val="24"/>
          <w:szCs w:val="24"/>
          <w:lang w:val="en-US" w:eastAsia="zh-CN"/>
        </w:rPr>
      </w:pPr>
      <w:r>
        <w:rPr>
          <w:rFonts w:hint="eastAsia" w:ascii="仿宋_GB2312" w:eastAsia="仿宋_GB2312"/>
          <w:b/>
          <w:color w:val="000000"/>
          <w:sz w:val="28"/>
          <w:szCs w:val="28"/>
        </w:rPr>
        <w:t>五、</w:t>
      </w:r>
      <w:r>
        <w:rPr>
          <w:rFonts w:hint="eastAsia" w:ascii="仿宋_GB2312" w:hAnsi="Times New Roman" w:eastAsia="仿宋_GB2312" w:cs="Times New Roman"/>
          <w:b/>
          <w:bCs w:val="0"/>
          <w:color w:val="000000"/>
          <w:sz w:val="28"/>
          <w:szCs w:val="28"/>
          <w:lang w:val="en-US" w:eastAsia="zh-CN"/>
        </w:rPr>
        <w:t>承包人资质等级要求：</w:t>
      </w:r>
    </w:p>
    <w:p w14:paraId="0E1F5F19">
      <w:pPr>
        <w:keepNext w:val="0"/>
        <w:keepLines w:val="0"/>
        <w:pageBreakBefore w:val="0"/>
        <w:widowControl/>
        <w:kinsoku/>
        <w:wordWrap/>
        <w:overflowPunct/>
        <w:topLinePunct w:val="0"/>
        <w:autoSpaceDE/>
        <w:autoSpaceDN w:val="0"/>
        <w:bidi w:val="0"/>
        <w:adjustRightInd/>
        <w:snapToGrid w:val="0"/>
        <w:spacing w:line="360" w:lineRule="auto"/>
        <w:ind w:right="0" w:rightChars="0" w:firstLine="560" w:firstLineChars="200"/>
        <w:textAlignment w:val="auto"/>
        <w:outlineLvl w:val="9"/>
        <w:rPr>
          <w:rFonts w:hint="eastAsia"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1、投标人必须是具备建设行政主管部门核发的房屋建筑工程二级资质及以上的法人或其他组织。</w:t>
      </w:r>
    </w:p>
    <w:p w14:paraId="570098EE">
      <w:pPr>
        <w:keepNext w:val="0"/>
        <w:keepLines w:val="0"/>
        <w:pageBreakBefore w:val="0"/>
        <w:widowControl/>
        <w:kinsoku/>
        <w:wordWrap/>
        <w:overflowPunct/>
        <w:topLinePunct w:val="0"/>
        <w:autoSpaceDE/>
        <w:autoSpaceDN w:val="0"/>
        <w:bidi w:val="0"/>
        <w:adjustRightInd/>
        <w:snapToGrid w:val="0"/>
        <w:spacing w:line="360" w:lineRule="auto"/>
        <w:ind w:right="0" w:rightChars="0" w:firstLine="560" w:firstLineChars="200"/>
        <w:textAlignment w:val="auto"/>
        <w:outlineLvl w:val="9"/>
        <w:rPr>
          <w:rFonts w:hint="default"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2、投标认必须具备安全生产许可证。</w:t>
      </w:r>
    </w:p>
    <w:p w14:paraId="37C71138">
      <w:pPr>
        <w:keepNext w:val="0"/>
        <w:keepLines w:val="0"/>
        <w:pageBreakBefore w:val="0"/>
        <w:widowControl/>
        <w:kinsoku/>
        <w:wordWrap/>
        <w:overflowPunct/>
        <w:topLinePunct w:val="0"/>
        <w:autoSpaceDE/>
        <w:autoSpaceDN w:val="0"/>
        <w:bidi w:val="0"/>
        <w:adjustRightInd/>
        <w:snapToGrid w:val="0"/>
        <w:spacing w:line="360" w:lineRule="auto"/>
        <w:ind w:right="0" w:rightChars="0"/>
        <w:textAlignment w:val="auto"/>
        <w:outlineLvl w:val="9"/>
        <w:rPr>
          <w:rFonts w:hint="eastAsia"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 xml:space="preserve">    3、每个投标人必须配施工项目经理一名。</w:t>
      </w:r>
    </w:p>
    <w:p w14:paraId="63F24129">
      <w:pPr>
        <w:keepNext w:val="0"/>
        <w:keepLines w:val="0"/>
        <w:pageBreakBefore w:val="0"/>
        <w:widowControl/>
        <w:kinsoku/>
        <w:wordWrap/>
        <w:overflowPunct/>
        <w:topLinePunct w:val="0"/>
        <w:autoSpaceDE/>
        <w:autoSpaceDN w:val="0"/>
        <w:bidi w:val="0"/>
        <w:adjustRightInd/>
        <w:snapToGrid w:val="0"/>
        <w:spacing w:line="360" w:lineRule="auto"/>
        <w:ind w:right="0" w:rightChars="0" w:firstLine="560" w:firstLineChars="0"/>
        <w:textAlignment w:val="auto"/>
        <w:outlineLvl w:val="9"/>
        <w:rPr>
          <w:rFonts w:hint="eastAsia"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4、投标人必须配备施工员、安全员、机械管理员等主要施工管理人员，上述施工管理人员必须持有上岗证书。</w:t>
      </w:r>
    </w:p>
    <w:p w14:paraId="722CA154">
      <w:pPr>
        <w:keepNext w:val="0"/>
        <w:keepLines w:val="0"/>
        <w:pageBreakBefore w:val="0"/>
        <w:widowControl/>
        <w:kinsoku/>
        <w:wordWrap/>
        <w:overflowPunct/>
        <w:topLinePunct w:val="0"/>
        <w:autoSpaceDE/>
        <w:autoSpaceDN w:val="0"/>
        <w:bidi w:val="0"/>
        <w:adjustRightInd/>
        <w:snapToGrid w:val="0"/>
        <w:spacing w:line="360" w:lineRule="auto"/>
        <w:ind w:right="0" w:rightChars="0" w:firstLine="560" w:firstLineChars="0"/>
        <w:textAlignment w:val="auto"/>
        <w:outlineLvl w:val="9"/>
        <w:rPr>
          <w:rFonts w:hint="default"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5、施工项目经理必须具备建筑工程贰级建造师（注册在投标单位），具有安全生产考核合格证B证，参加本项目投标时没有在其他未完工项目担任施工项目经理，中标后至完工前也不得在其他项目担任施工项目经理。</w:t>
      </w:r>
    </w:p>
    <w:p w14:paraId="6658EF42">
      <w:pPr>
        <w:keepNext w:val="0"/>
        <w:keepLines w:val="0"/>
        <w:pageBreakBefore w:val="0"/>
        <w:widowControl/>
        <w:kinsoku/>
        <w:wordWrap/>
        <w:overflowPunct/>
        <w:topLinePunct w:val="0"/>
        <w:autoSpaceDE/>
        <w:autoSpaceDN w:val="0"/>
        <w:bidi w:val="0"/>
        <w:adjustRightInd/>
        <w:snapToGrid w:val="0"/>
        <w:spacing w:line="360" w:lineRule="auto"/>
        <w:ind w:right="0" w:rightChars="0" w:firstLine="560" w:firstLineChars="0"/>
        <w:textAlignment w:val="auto"/>
        <w:outlineLvl w:val="9"/>
        <w:rPr>
          <w:rFonts w:hint="eastAsia" w:ascii="仿宋_GB2312" w:hAnsi="新宋体" w:eastAsia="仿宋_GB2312" w:cs="新宋体"/>
          <w:color w:val="000000"/>
          <w:sz w:val="28"/>
          <w:szCs w:val="28"/>
          <w:lang w:val="en-US" w:eastAsia="zh-CN"/>
        </w:rPr>
      </w:pPr>
      <w:bookmarkStart w:id="0" w:name="_GoBack"/>
      <w:bookmarkEnd w:id="0"/>
      <w:r>
        <w:rPr>
          <w:rFonts w:hint="eastAsia" w:ascii="仿宋_GB2312" w:hAnsi="新宋体" w:eastAsia="仿宋_GB2312" w:cs="新宋体"/>
          <w:color w:val="000000"/>
          <w:sz w:val="28"/>
          <w:szCs w:val="28"/>
          <w:lang w:val="en-US" w:eastAsia="zh-CN"/>
        </w:rPr>
        <w:t>6、投标人施工机械设备应满足工程施工需要。</w:t>
      </w:r>
    </w:p>
    <w:p w14:paraId="63C9091A">
      <w:pPr>
        <w:keepNext w:val="0"/>
        <w:keepLines w:val="0"/>
        <w:pageBreakBefore w:val="0"/>
        <w:widowControl w:val="0"/>
        <w:kinsoku/>
        <w:wordWrap/>
        <w:overflowPunct/>
        <w:topLinePunct w:val="0"/>
        <w:autoSpaceDE/>
        <w:bidi w:val="0"/>
        <w:adjustRightInd/>
        <w:snapToGrid w:val="0"/>
        <w:spacing w:line="288" w:lineRule="auto"/>
        <w:ind w:right="0" w:rightChars="0" w:firstLine="560" w:firstLineChars="200"/>
        <w:textAlignment w:val="auto"/>
        <w:outlineLvl w:val="9"/>
        <w:rPr>
          <w:rFonts w:hint="eastAsia"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7、转包及分包</w:t>
      </w:r>
    </w:p>
    <w:p w14:paraId="1AFF142F">
      <w:pPr>
        <w:keepNext w:val="0"/>
        <w:keepLines w:val="0"/>
        <w:pageBreakBefore w:val="0"/>
        <w:widowControl w:val="0"/>
        <w:kinsoku/>
        <w:wordWrap/>
        <w:overflowPunct/>
        <w:topLinePunct w:val="0"/>
        <w:autoSpaceDE/>
        <w:bidi w:val="0"/>
        <w:adjustRightInd/>
        <w:snapToGrid w:val="0"/>
        <w:spacing w:line="288" w:lineRule="auto"/>
        <w:ind w:right="0" w:rightChars="0" w:firstLine="560" w:firstLineChars="200"/>
        <w:textAlignment w:val="auto"/>
        <w:outlineLvl w:val="9"/>
        <w:rPr>
          <w:rFonts w:hint="eastAsia" w:ascii="仿宋_GB2312" w:hAnsi="新宋体" w:eastAsia="仿宋_GB2312" w:cs="新宋体"/>
          <w:color w:val="000000"/>
          <w:sz w:val="28"/>
          <w:szCs w:val="28"/>
          <w:lang w:val="en-US" w:eastAsia="zh-CN"/>
        </w:rPr>
      </w:pPr>
      <w:r>
        <w:rPr>
          <w:rFonts w:hint="eastAsia" w:ascii="仿宋_GB2312" w:hAnsi="新宋体" w:eastAsia="仿宋_GB2312" w:cs="新宋体"/>
          <w:color w:val="000000"/>
          <w:sz w:val="28"/>
          <w:szCs w:val="28"/>
          <w:lang w:val="en-US" w:eastAsia="zh-CN"/>
        </w:rPr>
        <w:t>7.1 本工程严禁转包行为，如发现转包行为，招标人可终止合同，投标人将承担一切损失及相关法律责任。</w:t>
      </w:r>
    </w:p>
    <w:p w14:paraId="4BA5CED5">
      <w:pPr>
        <w:widowControl w:val="0"/>
        <w:autoSpaceDN/>
        <w:snapToGrid w:val="0"/>
        <w:spacing w:line="288" w:lineRule="auto"/>
        <w:ind w:firstLine="560" w:firstLineChars="200"/>
        <w:rPr>
          <w:rFonts w:hint="eastAsia" w:ascii="仿宋_GB2312" w:eastAsia="仿宋_GB2312"/>
          <w:b/>
          <w:color w:val="000000"/>
          <w:sz w:val="28"/>
          <w:szCs w:val="28"/>
        </w:rPr>
      </w:pPr>
      <w:r>
        <w:rPr>
          <w:rFonts w:hint="eastAsia" w:ascii="仿宋_GB2312" w:hAnsi="新宋体" w:eastAsia="仿宋_GB2312" w:cs="新宋体"/>
          <w:color w:val="000000"/>
          <w:sz w:val="28"/>
          <w:szCs w:val="28"/>
          <w:lang w:val="en-US" w:eastAsia="zh-CN"/>
        </w:rPr>
        <w:t>7.2 严格限制分包。中标后不准分包，否则招标人可终止合同，投标人将承担一切损失及相关法律责任。</w:t>
      </w:r>
    </w:p>
    <w:p w14:paraId="4B71C125">
      <w:pPr>
        <w:autoSpaceDN w:val="0"/>
        <w:snapToGrid w:val="0"/>
        <w:spacing w:before="150" w:after="150" w:line="288" w:lineRule="auto"/>
        <w:rPr>
          <w:rFonts w:hint="eastAsia" w:ascii="仿宋_GB2312" w:hAnsi="仿宋_GB2312" w:eastAsia="仿宋_GB2312"/>
          <w:sz w:val="28"/>
          <w:szCs w:val="28"/>
        </w:rPr>
      </w:pPr>
      <w:r>
        <w:rPr>
          <w:rFonts w:hint="eastAsia" w:ascii="仿宋_GB2312" w:hAnsi="仿宋_GB2312" w:eastAsia="仿宋_GB2312"/>
          <w:b/>
          <w:bCs/>
          <w:sz w:val="28"/>
          <w:szCs w:val="28"/>
          <w:lang w:val="en-US" w:eastAsia="zh-CN"/>
        </w:rPr>
        <w:t>六</w:t>
      </w:r>
      <w:r>
        <w:rPr>
          <w:rFonts w:hint="eastAsia" w:ascii="仿宋_GB2312" w:hAnsi="仿宋_GB2312" w:eastAsia="仿宋_GB2312"/>
          <w:b/>
          <w:bCs/>
          <w:sz w:val="28"/>
          <w:szCs w:val="28"/>
        </w:rPr>
        <w:t>、投标报价要求及其他说明</w:t>
      </w:r>
      <w:r>
        <w:rPr>
          <w:rFonts w:hint="eastAsia" w:ascii="仿宋_GB2312" w:hAnsi="仿宋_GB2312" w:eastAsia="仿宋_GB2312"/>
          <w:sz w:val="28"/>
          <w:szCs w:val="28"/>
        </w:rPr>
        <w:t xml:space="preserve"> </w:t>
      </w:r>
    </w:p>
    <w:p w14:paraId="1CF607F1">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1、本工程采用</w:t>
      </w:r>
      <w:r>
        <w:rPr>
          <w:rFonts w:hint="eastAsia" w:ascii="仿宋_GB2312" w:hAnsi="仿宋_GB2312" w:eastAsia="仿宋_GB2312"/>
          <w:sz w:val="28"/>
          <w:szCs w:val="28"/>
          <w:lang w:val="en-US" w:eastAsia="zh-CN"/>
        </w:rPr>
        <w:t>单价合同</w:t>
      </w:r>
      <w:r>
        <w:rPr>
          <w:rFonts w:hint="default" w:ascii="仿宋_GB2312" w:hAnsi="仿宋_GB2312" w:eastAsia="仿宋_GB2312"/>
          <w:sz w:val="28"/>
          <w:szCs w:val="28"/>
          <w:lang w:val="en-US"/>
        </w:rPr>
        <w:t>形式</w:t>
      </w:r>
      <w:r>
        <w:rPr>
          <w:rFonts w:hint="eastAsia" w:ascii="仿宋_GB2312" w:hAnsi="仿宋_GB2312" w:eastAsia="仿宋_GB2312"/>
          <w:sz w:val="28"/>
          <w:szCs w:val="28"/>
          <w:lang w:eastAsia="zh-CN"/>
        </w:rPr>
        <w:t>（</w:t>
      </w:r>
      <w:r>
        <w:rPr>
          <w:rFonts w:hint="eastAsia" w:ascii="仿宋_GB2312" w:hAnsi="仿宋_GB2312" w:eastAsia="仿宋_GB2312"/>
          <w:sz w:val="28"/>
          <w:szCs w:val="28"/>
          <w:lang w:val="en-US" w:eastAsia="zh-CN"/>
        </w:rPr>
        <w:t>清单工程量为预估工程量，最终以实际完成工程量结算</w:t>
      </w:r>
      <w:r>
        <w:rPr>
          <w:rFonts w:hint="eastAsia" w:ascii="仿宋_GB2312" w:hAnsi="仿宋_GB2312" w:eastAsia="仿宋_GB2312"/>
          <w:sz w:val="28"/>
          <w:szCs w:val="28"/>
          <w:lang w:eastAsia="zh-CN"/>
        </w:rPr>
        <w:t>）</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综合单价</w:t>
      </w:r>
      <w:r>
        <w:rPr>
          <w:rFonts w:hint="eastAsia" w:ascii="仿宋_GB2312" w:hAnsi="仿宋_GB2312" w:eastAsia="仿宋_GB2312"/>
          <w:sz w:val="28"/>
          <w:szCs w:val="28"/>
        </w:rPr>
        <w:t>包含直接费用、间接费用、管理费、利润、税金、劳保费、保险费、设计审查费、计划工期内赶工费、取证费、质检费、环保费、安全费、风险费等为满足本工程而须设立的所有临时设施费、政策性文件规定费用、许可费、测量费、交竣工验收费用、施工机械使用费及进退场费及其它行政性收费、法律法规规定的费用等为完成招标内容所列工程范围内的所有费用。</w:t>
      </w:r>
    </w:p>
    <w:p w14:paraId="575B2734">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2、</w:t>
      </w:r>
      <w:r>
        <w:rPr>
          <w:rFonts w:hint="eastAsia" w:ascii="仿宋_GB2312" w:hAnsi="仿宋_GB2312" w:eastAsia="仿宋_GB2312"/>
          <w:sz w:val="28"/>
          <w:szCs w:val="28"/>
          <w:lang w:val="en-US" w:eastAsia="zh-CN"/>
        </w:rPr>
        <w:t>综合单价</w:t>
      </w:r>
      <w:r>
        <w:rPr>
          <w:rFonts w:hint="eastAsia" w:ascii="仿宋_GB2312" w:hAnsi="仿宋_GB2312" w:eastAsia="仿宋_GB2312"/>
          <w:sz w:val="28"/>
          <w:szCs w:val="28"/>
        </w:rPr>
        <w:t xml:space="preserve">包括且不限于上述相关费用，投标商须于报价中综合考虑如下因素和风险，不另外计价： </w:t>
      </w:r>
    </w:p>
    <w:p w14:paraId="5474233A">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1）承包人为达到按合同指定的开工期开工而进行临时调配的费用。</w:t>
      </w:r>
    </w:p>
    <w:p w14:paraId="4FF90B03">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2）投标人应当充分考虑抗台排涝、申办各种许可手续、进退场费和临时施工道路、预制场建设等费用。</w:t>
      </w:r>
    </w:p>
    <w:p w14:paraId="59D9B1C2">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3）充分考虑市场变化、政策性调整导致材料价格变化。</w:t>
      </w:r>
    </w:p>
    <w:p w14:paraId="264EA1F3">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4）充分考虑施工期间及保修期间的检测、观测、分析等所需要的各种费用；</w:t>
      </w:r>
    </w:p>
    <w:p w14:paraId="2C2AAAEF">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5）工程所需砂、石、土等地材由投标人自行考察确定，综合单价含资源费、运输、税金等一切费用。</w:t>
      </w:r>
    </w:p>
    <w:p w14:paraId="042C3CBA">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6）投标人应当充分考虑本工程与发包人正常生产作业相协调、相配合、相交叉、相干扰所增加的成本与费用。</w:t>
      </w:r>
    </w:p>
    <w:p w14:paraId="1BED6883">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7）技术规范、安全措施、环保措施要求的费用以及投标人认为需采取的其他措施费用应包括在投标报价中，合同条款另有约定的除外。</w:t>
      </w:r>
    </w:p>
    <w:p w14:paraId="1BD6F368">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3、投标人应到工地踏勘以充分了解工地位置、情况、道路、空间及任何其它足以影响承包价的情况，任何因忽视或误解工地现场情况而导致的工程款追加或工期延长申请将不获批准。</w:t>
      </w:r>
    </w:p>
    <w:p w14:paraId="2D580EAC">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4、投标人在投标报价时应充分利用发包文件的有关资料自行作出判断，如有疑问，需及时提出，由于误解本发包说明及附件导致的费用增加将不予受理。</w:t>
      </w:r>
    </w:p>
    <w:p w14:paraId="00177ADC">
      <w:pPr>
        <w:autoSpaceDN w:val="0"/>
        <w:snapToGrid w:val="0"/>
        <w:spacing w:line="336" w:lineRule="auto"/>
        <w:ind w:firstLine="420" w:firstLineChars="150"/>
        <w:rPr>
          <w:rFonts w:hint="eastAsia" w:ascii="仿宋_GB2312" w:hAnsi="仿宋_GB2312" w:eastAsia="仿宋_GB2312"/>
          <w:color w:val="FF0000"/>
          <w:sz w:val="28"/>
          <w:szCs w:val="28"/>
        </w:rPr>
      </w:pPr>
      <w:r>
        <w:rPr>
          <w:rFonts w:hint="eastAsia" w:ascii="仿宋_GB2312" w:hAnsi="仿宋_GB2312" w:eastAsia="仿宋_GB2312"/>
          <w:sz w:val="28"/>
          <w:szCs w:val="28"/>
        </w:rPr>
        <w:t>5、投标人需充分理解现有发包说明、清单和附图，如有异议可自行核对。合同（或协议）签订后，除招标人提出的设计变更</w:t>
      </w:r>
      <w:r>
        <w:rPr>
          <w:rFonts w:hint="eastAsia" w:ascii="仿宋_GB2312" w:hAnsi="仿宋_GB2312" w:eastAsia="仿宋_GB2312" w:cs="Times New Roman"/>
          <w:b w:val="0"/>
          <w:bCs w:val="0"/>
          <w:color w:val="000000"/>
          <w:sz w:val="28"/>
          <w:szCs w:val="28"/>
          <w:lang w:eastAsia="zh-CN"/>
        </w:rPr>
        <w:t>及工程量误差按规定据实调整外</w:t>
      </w:r>
      <w:r>
        <w:rPr>
          <w:rFonts w:hint="eastAsia" w:ascii="仿宋_GB2312" w:hAnsi="仿宋_GB2312" w:eastAsia="仿宋_GB2312"/>
          <w:sz w:val="28"/>
          <w:szCs w:val="28"/>
        </w:rPr>
        <w:t>，工程价款将不做调整。</w:t>
      </w:r>
    </w:p>
    <w:p w14:paraId="5D1DC533">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6、为满足发包工程范围内施工所需之一切机械、设备等均由承包人自行解决。</w:t>
      </w:r>
    </w:p>
    <w:p w14:paraId="1A4EF616">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7、所有按本发包文件应当计入的成本与费用，投标人所提供的单价和合价在合同实施期间不因市场变化因素而变动，投标人在计算报价时可考虑一定的风险系数；由于投标人原因在投标报价中没有或缺少计入的，招标人将一律不予补偿或调整，有关损失和后果均由投标人自行承担。</w:t>
      </w:r>
    </w:p>
    <w:p w14:paraId="13FA26AC">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8、施工用水、用电接口和运输通道由招标人协助提供，但相应的接引设施和水、电使用费、运输费均由承包人承担。</w:t>
      </w:r>
    </w:p>
    <w:p w14:paraId="6F5FDFBA">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9、承包人在施工过程中若因违反法律法规被政府有关部门罚款时，包括招标人的连带罚款均由承包人承担。</w:t>
      </w:r>
    </w:p>
    <w:p w14:paraId="51D878D9">
      <w:pPr>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10、若投标人认为有其他不可预见费用可于报价时单独列出，未列出则视同无异议。</w:t>
      </w:r>
    </w:p>
    <w:p w14:paraId="6DD11E1B">
      <w:pPr>
        <w:autoSpaceDN w:val="0"/>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1</w:t>
      </w:r>
      <w:r>
        <w:rPr>
          <w:rFonts w:hint="eastAsia" w:ascii="仿宋_GB2312" w:hAnsi="仿宋_GB2312" w:eastAsia="仿宋_GB2312"/>
          <w:sz w:val="28"/>
          <w:szCs w:val="28"/>
          <w:lang w:val="en-US" w:eastAsia="zh-CN"/>
        </w:rPr>
        <w:t>1</w:t>
      </w:r>
      <w:r>
        <w:rPr>
          <w:rFonts w:hint="eastAsia" w:ascii="仿宋_GB2312" w:hAnsi="仿宋_GB2312" w:eastAsia="仿宋_GB2312"/>
          <w:sz w:val="28"/>
          <w:szCs w:val="28"/>
        </w:rPr>
        <w:t>、承包人材料进厂后应立即通知发包人和监理，并按规定取样送交有关部门检验，同时递交材料出厂说明和质量保证书，发包人和监理对承包人提交材料质量有怀疑，且经检验材料不合格，承包人应立即调换保证质量之材料进场施工，不得以任何借口推诿，以至于拖延工期。从检验材料不合格起为第一天，三日内未能提供保证质量之材料进场施工视同违约，发包人可每日扣除总价之1‰作为违约金。</w:t>
      </w:r>
    </w:p>
    <w:p w14:paraId="46CEDC1D">
      <w:pPr>
        <w:autoSpaceDN w:val="0"/>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1</w:t>
      </w:r>
      <w:r>
        <w:rPr>
          <w:rFonts w:hint="eastAsia" w:ascii="仿宋_GB2312" w:hAnsi="仿宋_GB2312" w:eastAsia="仿宋_GB2312"/>
          <w:sz w:val="28"/>
          <w:szCs w:val="28"/>
          <w:lang w:val="en-US" w:eastAsia="zh-CN"/>
        </w:rPr>
        <w:t>2</w:t>
      </w:r>
      <w:r>
        <w:rPr>
          <w:rFonts w:hint="eastAsia" w:ascii="仿宋_GB2312" w:hAnsi="仿宋_GB2312" w:eastAsia="仿宋_GB2312"/>
          <w:sz w:val="28"/>
          <w:szCs w:val="28"/>
        </w:rPr>
        <w:t>、本发包说明解释权在发包人。</w:t>
      </w:r>
    </w:p>
    <w:p w14:paraId="4F47CE1D">
      <w:pPr>
        <w:autoSpaceDN w:val="0"/>
        <w:snapToGrid w:val="0"/>
        <w:spacing w:line="336" w:lineRule="auto"/>
        <w:ind w:firstLine="420" w:firstLineChars="150"/>
        <w:rPr>
          <w:rFonts w:hint="eastAsia" w:ascii="仿宋_GB2312" w:hAnsi="仿宋_GB2312" w:eastAsia="仿宋_GB2312"/>
          <w:sz w:val="28"/>
          <w:szCs w:val="28"/>
        </w:rPr>
      </w:pPr>
      <w:r>
        <w:rPr>
          <w:rFonts w:hint="eastAsia" w:ascii="仿宋_GB2312" w:hAnsi="仿宋_GB2312" w:eastAsia="仿宋_GB2312"/>
          <w:sz w:val="28"/>
          <w:szCs w:val="28"/>
        </w:rPr>
        <w:t>承包人在投标时已充分考虑工程施工期间的市场价格变化带来的风险，合同</w:t>
      </w:r>
      <w:r>
        <w:rPr>
          <w:rFonts w:hint="eastAsia" w:ascii="仿宋_GB2312" w:hAnsi="仿宋_GB2312" w:eastAsia="仿宋_GB2312"/>
          <w:sz w:val="28"/>
          <w:szCs w:val="28"/>
          <w:lang w:val="en-US" w:eastAsia="zh-CN"/>
        </w:rPr>
        <w:t>综合单价</w:t>
      </w:r>
      <w:r>
        <w:rPr>
          <w:rFonts w:hint="eastAsia" w:ascii="仿宋_GB2312" w:hAnsi="仿宋_GB2312" w:eastAsia="仿宋_GB2312"/>
          <w:sz w:val="28"/>
          <w:szCs w:val="28"/>
        </w:rPr>
        <w:t>不因材料、人工或其他任何市场价格波动而调整。</w:t>
      </w:r>
    </w:p>
    <w:p w14:paraId="4B4B3E9B">
      <w:pPr>
        <w:autoSpaceDN w:val="0"/>
        <w:snapToGrid w:val="0"/>
        <w:spacing w:before="150" w:after="150" w:line="288" w:lineRule="auto"/>
        <w:rPr>
          <w:rFonts w:hint="eastAsia" w:ascii="仿宋_GB2312" w:hAnsi="仿宋_GB2312" w:eastAsia="仿宋_GB2312"/>
          <w:b/>
          <w:bCs/>
          <w:sz w:val="28"/>
          <w:szCs w:val="28"/>
        </w:rPr>
      </w:pPr>
      <w:r>
        <w:rPr>
          <w:rFonts w:hint="eastAsia" w:ascii="仿宋_GB2312" w:hAnsi="仿宋_GB2312" w:eastAsia="仿宋_GB2312"/>
          <w:b/>
          <w:bCs/>
          <w:sz w:val="28"/>
          <w:szCs w:val="28"/>
          <w:lang w:val="en-US" w:eastAsia="zh-CN"/>
        </w:rPr>
        <w:t>七</w:t>
      </w:r>
      <w:r>
        <w:rPr>
          <w:rFonts w:hint="eastAsia" w:ascii="仿宋_GB2312" w:hAnsi="仿宋_GB2312" w:eastAsia="仿宋_GB2312"/>
          <w:b/>
          <w:bCs/>
          <w:sz w:val="28"/>
          <w:szCs w:val="28"/>
        </w:rPr>
        <w:t>、投标技术文件的编制要求</w:t>
      </w:r>
    </w:p>
    <w:p w14:paraId="0B11B0A9">
      <w:pPr>
        <w:autoSpaceDN w:val="0"/>
        <w:snapToGrid w:val="0"/>
        <w:spacing w:line="336" w:lineRule="auto"/>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考虑施工在厂内装置内</w:t>
      </w:r>
      <w:r>
        <w:rPr>
          <w:rFonts w:hint="eastAsia" w:ascii="仿宋_GB2312" w:hAnsi="仿宋_GB2312" w:eastAsia="仿宋_GB2312"/>
          <w:sz w:val="28"/>
          <w:szCs w:val="28"/>
          <w:lang w:eastAsia="zh-CN"/>
        </w:rPr>
        <w:t>，技术复杂</w:t>
      </w:r>
      <w:r>
        <w:rPr>
          <w:rFonts w:hint="eastAsia" w:ascii="仿宋_GB2312" w:hAnsi="仿宋_GB2312" w:eastAsia="仿宋_GB2312"/>
          <w:sz w:val="28"/>
          <w:szCs w:val="28"/>
        </w:rPr>
        <w:t>，安全要求高</w:t>
      </w:r>
      <w:r>
        <w:rPr>
          <w:rFonts w:hint="eastAsia" w:ascii="仿宋_GB2312" w:hAnsi="仿宋_GB2312" w:eastAsia="仿宋_GB2312"/>
          <w:sz w:val="28"/>
          <w:szCs w:val="28"/>
          <w:lang w:val="en-US" w:eastAsia="zh-CN"/>
        </w:rPr>
        <w:t>,</w:t>
      </w:r>
      <w:r>
        <w:rPr>
          <w:rFonts w:hint="eastAsia" w:ascii="仿宋_GB2312" w:hAnsi="仿宋_GB2312" w:eastAsia="仿宋_GB2312"/>
          <w:sz w:val="28"/>
          <w:szCs w:val="28"/>
        </w:rPr>
        <w:t>为有效预防承包商转包和分包行为，满足工期和质量管控需要，投标人</w:t>
      </w:r>
      <w:r>
        <w:rPr>
          <w:rFonts w:hint="eastAsia" w:ascii="仿宋_GB2312" w:hAnsi="仿宋_GB2312" w:eastAsia="仿宋_GB2312"/>
          <w:sz w:val="28"/>
          <w:szCs w:val="28"/>
          <w:lang w:val="en-US" w:eastAsia="zh-CN"/>
        </w:rPr>
        <w:t>应编制技术文件（施工组织设计）</w:t>
      </w:r>
      <w:r>
        <w:rPr>
          <w:rFonts w:hint="eastAsia" w:ascii="仿宋_GB2312" w:hAnsi="仿宋_GB2312" w:eastAsia="仿宋_GB2312"/>
          <w:sz w:val="28"/>
          <w:szCs w:val="28"/>
        </w:rPr>
        <w:t>，该</w:t>
      </w:r>
      <w:r>
        <w:rPr>
          <w:rFonts w:hint="eastAsia" w:ascii="仿宋_GB2312" w:hAnsi="仿宋_GB2312" w:eastAsia="仿宋_GB2312"/>
          <w:sz w:val="28"/>
          <w:szCs w:val="28"/>
          <w:lang w:val="en-US" w:eastAsia="zh-CN"/>
        </w:rPr>
        <w:t>技术文件（施工组织设计）</w:t>
      </w:r>
      <w:r>
        <w:rPr>
          <w:rFonts w:hint="eastAsia" w:ascii="仿宋_GB2312" w:hAnsi="仿宋_GB2312" w:eastAsia="仿宋_GB2312"/>
          <w:sz w:val="28"/>
          <w:szCs w:val="28"/>
        </w:rPr>
        <w:t>将作为施工过程中监督承包商是否落实招标文件的依据。</w:t>
      </w:r>
    </w:p>
    <w:p w14:paraId="7C8A801B">
      <w:pPr>
        <w:autoSpaceDN w:val="0"/>
        <w:snapToGrid w:val="0"/>
        <w:spacing w:line="336" w:lineRule="auto"/>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lang w:val="en-US" w:eastAsia="zh-CN"/>
        </w:rPr>
        <w:t>技术文件（施工组织设计）</w:t>
      </w:r>
      <w:r>
        <w:rPr>
          <w:rFonts w:hint="eastAsia" w:ascii="仿宋_GB2312" w:hAnsi="仿宋_GB2312" w:eastAsia="仿宋_GB2312"/>
          <w:sz w:val="28"/>
          <w:szCs w:val="28"/>
        </w:rPr>
        <w:t>的主要内容</w:t>
      </w:r>
      <w:r>
        <w:rPr>
          <w:rFonts w:hint="eastAsia" w:ascii="仿宋_GB2312" w:hAnsi="仿宋_GB2312" w:eastAsia="仿宋_GB2312"/>
          <w:sz w:val="28"/>
          <w:szCs w:val="28"/>
          <w:lang w:eastAsia="zh-CN"/>
        </w:rPr>
        <w:t>详见招标文件</w:t>
      </w:r>
      <w:r>
        <w:rPr>
          <w:rFonts w:hint="eastAsia" w:ascii="仿宋_GB2312" w:hAnsi="仿宋_GB2312" w:eastAsia="仿宋_GB2312"/>
          <w:sz w:val="28"/>
          <w:szCs w:val="28"/>
          <w:lang w:val="en-US" w:eastAsia="zh-CN"/>
        </w:rPr>
        <w:t>.</w:t>
      </w:r>
    </w:p>
    <w:p w14:paraId="6183BB72">
      <w:pPr>
        <w:autoSpaceDN w:val="0"/>
        <w:snapToGrid w:val="0"/>
        <w:spacing w:line="336" w:lineRule="auto"/>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九、质量保修</w:t>
      </w:r>
    </w:p>
    <w:p w14:paraId="2FF2C1F2">
      <w:pPr>
        <w:pStyle w:val="6"/>
        <w:widowControl w:val="0"/>
        <w:spacing w:before="0" w:beforeAutospacing="0" w:after="0" w:afterAutospacing="0" w:line="360" w:lineRule="auto"/>
        <w:ind w:firstLine="560" w:firstLineChars="200"/>
        <w:jc w:val="both"/>
        <w:rPr>
          <w:rFonts w:hint="eastAsia" w:ascii="仿宋_GB2312" w:hAnsi="仿宋_GB2312" w:eastAsia="仿宋_GB2312"/>
          <w:sz w:val="28"/>
          <w:szCs w:val="28"/>
        </w:rPr>
      </w:pPr>
      <w:r>
        <w:rPr>
          <w:rFonts w:hint="eastAsia" w:ascii="仿宋_GB2312" w:hAnsi="仿宋_GB2312" w:eastAsia="仿宋_GB2312"/>
          <w:sz w:val="28"/>
          <w:szCs w:val="28"/>
        </w:rPr>
        <w:t>发包人根据《中华人民共和国建筑法》、《建设工程质量管理条例》和《房屋建筑工程质量保修办法》,经协商一致,对本装置工程签订工程质量保修协议。　</w:t>
      </w:r>
    </w:p>
    <w:p w14:paraId="559E5B75">
      <w:pPr>
        <w:pStyle w:val="6"/>
        <w:widowControl w:val="0"/>
        <w:spacing w:before="0" w:beforeAutospacing="0" w:after="0" w:afterAutospacing="0" w:line="360" w:lineRule="auto"/>
        <w:jc w:val="both"/>
        <w:rPr>
          <w:rFonts w:hint="eastAsia" w:ascii="仿宋_GB2312" w:hAnsi="仿宋_GB2312" w:eastAsia="仿宋_GB2312"/>
          <w:b/>
          <w:sz w:val="28"/>
          <w:szCs w:val="28"/>
        </w:rPr>
      </w:pPr>
      <w:r>
        <w:rPr>
          <w:rFonts w:hint="eastAsia" w:ascii="仿宋_GB2312" w:hAnsi="仿宋_GB2312" w:eastAsia="仿宋_GB2312"/>
          <w:b/>
          <w:sz w:val="28"/>
          <w:szCs w:val="28"/>
        </w:rPr>
        <w:t>（1）工程质量保修范围和内容：</w:t>
      </w:r>
    </w:p>
    <w:p w14:paraId="3B8FFBBC">
      <w:pPr>
        <w:pStyle w:val="6"/>
        <w:widowControl w:val="0"/>
        <w:spacing w:before="0" w:beforeAutospacing="0" w:after="0" w:afterAutospacing="0" w:line="360" w:lineRule="auto"/>
        <w:ind w:firstLine="630" w:firstLineChars="225"/>
        <w:jc w:val="both"/>
        <w:rPr>
          <w:rFonts w:hint="eastAsia" w:ascii="仿宋_GB2312" w:hAnsi="仿宋_GB2312" w:eastAsia="仿宋_GB2312"/>
          <w:b/>
          <w:sz w:val="28"/>
          <w:szCs w:val="28"/>
        </w:rPr>
      </w:pPr>
      <w:r>
        <w:rPr>
          <w:rFonts w:hint="eastAsia" w:ascii="仿宋_GB2312" w:hAnsi="仿宋_GB2312" w:eastAsia="仿宋_GB2312"/>
          <w:sz w:val="28"/>
          <w:szCs w:val="28"/>
        </w:rPr>
        <w:t>在质量保修期内,按照有关法律、法规、规章的管理规定和本协议的约定,承担本工程质量保修责任。质量保修范围包括土建基础工程、主体结构工程以及双方约定的其他项目。</w:t>
      </w:r>
    </w:p>
    <w:p w14:paraId="566F5B6C">
      <w:pPr>
        <w:pStyle w:val="6"/>
        <w:widowControl w:val="0"/>
        <w:spacing w:before="0" w:beforeAutospacing="0" w:after="0" w:afterAutospacing="0" w:line="360" w:lineRule="auto"/>
        <w:jc w:val="both"/>
        <w:rPr>
          <w:rFonts w:hint="eastAsia" w:ascii="仿宋_GB2312" w:hAnsi="仿宋_GB2312" w:eastAsia="仿宋_GB2312"/>
          <w:b/>
          <w:sz w:val="28"/>
          <w:szCs w:val="28"/>
        </w:rPr>
      </w:pPr>
      <w:r>
        <w:rPr>
          <w:rFonts w:hint="eastAsia" w:ascii="仿宋_GB2312" w:hAnsi="仿宋_GB2312" w:eastAsia="仿宋_GB2312"/>
          <w:b/>
          <w:sz w:val="28"/>
          <w:szCs w:val="28"/>
        </w:rPr>
        <w:t>（2）质量保修期</w:t>
      </w:r>
    </w:p>
    <w:p w14:paraId="09EE15D5">
      <w:pPr>
        <w:pStyle w:val="6"/>
        <w:widowControl w:val="0"/>
        <w:spacing w:before="0" w:beforeAutospacing="0" w:after="0" w:afterAutospacing="0" w:line="360" w:lineRule="auto"/>
        <w:ind w:firstLine="560" w:firstLineChars="200"/>
        <w:jc w:val="both"/>
        <w:rPr>
          <w:rFonts w:hint="eastAsia" w:ascii="仿宋_GB2312" w:hAnsi="仿宋_GB2312" w:eastAsia="仿宋_GB2312"/>
          <w:sz w:val="28"/>
          <w:szCs w:val="28"/>
        </w:rPr>
      </w:pPr>
      <w:r>
        <w:rPr>
          <w:rFonts w:hint="eastAsia" w:ascii="仿宋_GB2312" w:hAnsi="仿宋_GB2312" w:eastAsia="仿宋_GB2312"/>
          <w:sz w:val="28"/>
          <w:szCs w:val="28"/>
        </w:rPr>
        <w:t>双方根据《建设工程质量管理条例》及有关规定,约定本工程的质量保修期如下：</w:t>
      </w:r>
    </w:p>
    <w:p w14:paraId="24B96354">
      <w:pPr>
        <w:pStyle w:val="6"/>
        <w:widowControl w:val="0"/>
        <w:numPr>
          <w:ilvl w:val="0"/>
          <w:numId w:val="4"/>
        </w:numPr>
        <w:spacing w:before="0" w:beforeAutospacing="0" w:after="0" w:afterAutospacing="0" w:line="360" w:lineRule="auto"/>
        <w:jc w:val="both"/>
        <w:rPr>
          <w:rFonts w:hint="eastAsia" w:ascii="仿宋_GB2312" w:hAnsi="仿宋_GB2312" w:eastAsia="仿宋_GB2312"/>
          <w:color w:val="000000"/>
          <w:sz w:val="28"/>
          <w:szCs w:val="28"/>
        </w:rPr>
      </w:pPr>
      <w:r>
        <w:rPr>
          <w:rFonts w:hint="eastAsia" w:ascii="仿宋_GB2312" w:hAnsi="仿宋_GB2312" w:eastAsia="仿宋_GB2312"/>
          <w:color w:val="000000"/>
          <w:sz w:val="28"/>
          <w:szCs w:val="28"/>
        </w:rPr>
        <w:t>土建基础工程和主体结构工程为设计文件规定的该工程合理的使用年限；</w:t>
      </w:r>
    </w:p>
    <w:p w14:paraId="0470029F">
      <w:pPr>
        <w:pStyle w:val="6"/>
        <w:widowControl w:val="0"/>
        <w:numPr>
          <w:ilvl w:val="0"/>
          <w:numId w:val="4"/>
        </w:numPr>
        <w:spacing w:before="0" w:beforeAutospacing="0" w:after="0" w:afterAutospacing="0" w:line="360" w:lineRule="auto"/>
        <w:jc w:val="both"/>
        <w:rPr>
          <w:rFonts w:hint="eastAsia" w:ascii="仿宋_GB2312" w:hAnsi="仿宋_GB2312" w:eastAsia="仿宋_GB2312"/>
          <w:color w:val="000000"/>
          <w:sz w:val="28"/>
          <w:szCs w:val="28"/>
        </w:rPr>
      </w:pPr>
      <w:r>
        <w:rPr>
          <w:rFonts w:hint="eastAsia" w:ascii="仿宋_GB2312" w:hAnsi="仿宋_GB2312" w:eastAsia="仿宋_GB2312"/>
          <w:color w:val="000000"/>
          <w:sz w:val="28"/>
          <w:szCs w:val="28"/>
        </w:rPr>
        <w:t>其他工程为</w:t>
      </w:r>
      <w:r>
        <w:rPr>
          <w:rFonts w:hint="eastAsia" w:ascii="仿宋_GB2312" w:hAnsi="仿宋_GB2312" w:eastAsia="仿宋_GB2312"/>
          <w:b/>
          <w:color w:val="000000"/>
          <w:sz w:val="28"/>
          <w:szCs w:val="28"/>
          <w:u w:val="single"/>
        </w:rPr>
        <w:t>2</w:t>
      </w:r>
      <w:r>
        <w:rPr>
          <w:rFonts w:hint="eastAsia" w:ascii="仿宋_GB2312" w:hAnsi="仿宋_GB2312" w:eastAsia="仿宋_GB2312"/>
          <w:color w:val="000000"/>
          <w:sz w:val="28"/>
          <w:szCs w:val="28"/>
        </w:rPr>
        <w:t>年；</w:t>
      </w:r>
    </w:p>
    <w:p w14:paraId="303AB80F">
      <w:pPr>
        <w:pStyle w:val="6"/>
        <w:widowControl w:val="0"/>
        <w:spacing w:before="0" w:beforeAutospacing="0" w:after="0" w:afterAutospacing="0" w:line="360" w:lineRule="auto"/>
        <w:ind w:firstLine="560" w:firstLineChars="200"/>
        <w:jc w:val="both"/>
        <w:rPr>
          <w:rFonts w:hint="eastAsia" w:ascii="仿宋_GB2312" w:hAnsi="仿宋_GB2312" w:eastAsia="仿宋_GB2312"/>
          <w:sz w:val="28"/>
          <w:szCs w:val="28"/>
        </w:rPr>
      </w:pPr>
      <w:r>
        <w:rPr>
          <w:rFonts w:hint="eastAsia" w:ascii="仿宋_GB2312" w:hAnsi="仿宋_GB2312" w:eastAsia="仿宋_GB2312"/>
          <w:sz w:val="28"/>
          <w:szCs w:val="28"/>
        </w:rPr>
        <w:t>质量保修期自工程竣工验收合格之日起计算,如发生保修事项,则涉及的该项目的保修期相应顺延</w:t>
      </w:r>
      <w:r>
        <w:rPr>
          <w:rFonts w:hint="eastAsia" w:ascii="仿宋_GB2312" w:hAnsi="仿宋_GB2312" w:eastAsia="仿宋_GB2312"/>
          <w:b/>
          <w:sz w:val="28"/>
          <w:szCs w:val="28"/>
          <w:u w:val="single"/>
        </w:rPr>
        <w:t>1</w:t>
      </w:r>
      <w:r>
        <w:rPr>
          <w:rFonts w:hint="eastAsia" w:ascii="仿宋_GB2312" w:hAnsi="仿宋_GB2312" w:eastAsia="仿宋_GB2312"/>
          <w:sz w:val="28"/>
          <w:szCs w:val="28"/>
        </w:rPr>
        <w:t>年。</w:t>
      </w:r>
    </w:p>
    <w:p w14:paraId="09A8C626">
      <w:pPr>
        <w:pStyle w:val="6"/>
        <w:widowControl w:val="0"/>
        <w:spacing w:before="0" w:beforeAutospacing="0" w:after="0" w:afterAutospacing="0" w:line="360" w:lineRule="auto"/>
        <w:jc w:val="both"/>
        <w:rPr>
          <w:rFonts w:hint="eastAsia" w:ascii="仿宋_GB2312" w:hAnsi="仿宋_GB2312" w:eastAsia="仿宋_GB2312"/>
          <w:b/>
          <w:sz w:val="28"/>
          <w:szCs w:val="28"/>
        </w:rPr>
      </w:pPr>
      <w:r>
        <w:rPr>
          <w:rFonts w:hint="eastAsia" w:ascii="仿宋_GB2312" w:hAnsi="仿宋_GB2312" w:eastAsia="仿宋_GB2312"/>
          <w:b/>
          <w:sz w:val="28"/>
          <w:szCs w:val="28"/>
        </w:rPr>
        <w:t>（3）质量保修责任</w:t>
      </w:r>
    </w:p>
    <w:p w14:paraId="772B2826">
      <w:pPr>
        <w:pStyle w:val="6"/>
        <w:widowControl w:val="0"/>
        <w:numPr>
          <w:ilvl w:val="0"/>
          <w:numId w:val="5"/>
        </w:numPr>
        <w:tabs>
          <w:tab w:val="left" w:pos="720"/>
        </w:tabs>
        <w:spacing w:before="0" w:beforeAutospacing="0" w:after="0" w:afterAutospacing="0" w:line="360" w:lineRule="auto"/>
        <w:jc w:val="both"/>
        <w:rPr>
          <w:rFonts w:hint="eastAsia" w:ascii="仿宋_GB2312" w:hAnsi="仿宋_GB2312" w:eastAsia="仿宋_GB2312"/>
          <w:sz w:val="28"/>
          <w:szCs w:val="28"/>
        </w:rPr>
      </w:pPr>
      <w:r>
        <w:rPr>
          <w:rFonts w:hint="eastAsia" w:ascii="仿宋_GB2312" w:hAnsi="仿宋_GB2312" w:eastAsia="仿宋_GB2312"/>
          <w:sz w:val="28"/>
          <w:szCs w:val="28"/>
        </w:rPr>
        <w:t>属于保修范围和内容的项目,应当在接到修理通知之日后3天内派人修理。不在约定期限内派人修理的,发包人可以委托他人修理,保修费用从质量保修金内扣除。</w:t>
      </w:r>
    </w:p>
    <w:p w14:paraId="5F671597">
      <w:pPr>
        <w:pStyle w:val="6"/>
        <w:widowControl w:val="0"/>
        <w:numPr>
          <w:ilvl w:val="0"/>
          <w:numId w:val="5"/>
        </w:numPr>
        <w:tabs>
          <w:tab w:val="left" w:pos="720"/>
        </w:tabs>
        <w:spacing w:before="0" w:beforeAutospacing="0" w:after="0" w:afterAutospacing="0" w:line="360" w:lineRule="auto"/>
        <w:jc w:val="both"/>
        <w:rPr>
          <w:rFonts w:hint="eastAsia" w:ascii="仿宋_GB2312" w:hAnsi="仿宋_GB2312" w:eastAsia="仿宋_GB2312"/>
          <w:sz w:val="28"/>
          <w:szCs w:val="28"/>
        </w:rPr>
      </w:pPr>
      <w:r>
        <w:rPr>
          <w:rFonts w:hint="eastAsia" w:ascii="仿宋_GB2312" w:hAnsi="仿宋_GB2312" w:eastAsia="仿宋_GB2312"/>
          <w:sz w:val="28"/>
          <w:szCs w:val="28"/>
        </w:rPr>
        <w:t>发生任何紧急抢修事故,在接到事故通知后,应当立即到达事故现场抢修。非施工质量引起的事故,抢修费用由发包人承担。</w:t>
      </w:r>
    </w:p>
    <w:p w14:paraId="0DE9BD3B">
      <w:pPr>
        <w:pStyle w:val="6"/>
        <w:widowControl w:val="0"/>
        <w:numPr>
          <w:ilvl w:val="0"/>
          <w:numId w:val="5"/>
        </w:numPr>
        <w:tabs>
          <w:tab w:val="left" w:pos="720"/>
        </w:tabs>
        <w:spacing w:before="0" w:beforeAutospacing="0" w:after="0" w:afterAutospacing="0" w:line="360" w:lineRule="auto"/>
        <w:jc w:val="both"/>
        <w:rPr>
          <w:rFonts w:hint="eastAsia" w:ascii="仿宋_GB2312" w:hAnsi="仿宋_GB2312" w:eastAsia="仿宋_GB2312"/>
          <w:sz w:val="28"/>
          <w:szCs w:val="28"/>
        </w:rPr>
      </w:pPr>
      <w:r>
        <w:rPr>
          <w:rFonts w:hint="eastAsia" w:ascii="仿宋_GB2312" w:hAnsi="仿宋_GB2312" w:eastAsia="仿宋_GB2312"/>
          <w:sz w:val="28"/>
          <w:szCs w:val="28"/>
        </w:rPr>
        <w:t>在国家规定的工程合理使用期限内,确保地基基础工程和主体结构的质量。因原因致使工程在合理使用期限内造成人身和财产损害的,应承担损害赔偿责任。</w:t>
      </w:r>
    </w:p>
    <w:p w14:paraId="749AE79D">
      <w:pPr>
        <w:pStyle w:val="6"/>
        <w:widowControl w:val="0"/>
        <w:numPr>
          <w:ilvl w:val="0"/>
          <w:numId w:val="5"/>
        </w:numPr>
        <w:tabs>
          <w:tab w:val="left" w:pos="720"/>
        </w:tabs>
        <w:spacing w:before="0" w:beforeAutospacing="0" w:after="0" w:afterAutospacing="0" w:line="360" w:lineRule="auto"/>
        <w:jc w:val="both"/>
        <w:rPr>
          <w:rFonts w:hint="eastAsia" w:ascii="仿宋_GB2312" w:hAnsi="仿宋_GB2312" w:eastAsia="仿宋_GB2312"/>
          <w:sz w:val="28"/>
          <w:szCs w:val="28"/>
        </w:rPr>
      </w:pPr>
      <w:r>
        <w:rPr>
          <w:rFonts w:hint="eastAsia" w:ascii="仿宋_GB2312" w:hAnsi="仿宋_GB2312" w:eastAsia="仿宋_GB2312"/>
          <w:sz w:val="28"/>
          <w:szCs w:val="28"/>
        </w:rPr>
        <w:t>对超过保修期后的质量缺陷,如果属于非隐蔽的缺陷,由发包人承担责任；而属于隐蔽部位的缺陷,仍应由承担责任。</w:t>
      </w:r>
    </w:p>
    <w:p w14:paraId="7F730329">
      <w:pPr>
        <w:pStyle w:val="6"/>
        <w:widowControl w:val="0"/>
        <w:spacing w:before="0" w:beforeAutospacing="0" w:after="0" w:afterAutospacing="0" w:line="360" w:lineRule="auto"/>
        <w:jc w:val="both"/>
        <w:rPr>
          <w:rFonts w:hint="eastAsia" w:ascii="仿宋_GB2312" w:hAnsi="仿宋_GB2312" w:eastAsia="仿宋_GB2312"/>
          <w:b/>
          <w:sz w:val="28"/>
          <w:szCs w:val="28"/>
        </w:rPr>
      </w:pPr>
      <w:r>
        <w:rPr>
          <w:rFonts w:hint="eastAsia" w:ascii="仿宋_GB2312" w:eastAsia="仿宋_GB2312"/>
          <w:sz w:val="28"/>
          <w:szCs w:val="28"/>
        </w:rPr>
        <w:t>（4）质量保修金的支付</w:t>
      </w:r>
    </w:p>
    <w:p w14:paraId="7E2CAA50">
      <w:pPr>
        <w:pStyle w:val="6"/>
        <w:widowControl w:val="0"/>
        <w:spacing w:before="0" w:beforeAutospacing="0" w:after="0" w:afterAutospacing="0" w:line="360" w:lineRule="auto"/>
        <w:ind w:firstLine="560" w:firstLineChars="200"/>
        <w:jc w:val="both"/>
        <w:rPr>
          <w:rFonts w:hint="eastAsia" w:ascii="仿宋_GB2312" w:hAnsi="仿宋_GB2312" w:eastAsia="仿宋_GB2312"/>
          <w:sz w:val="28"/>
          <w:szCs w:val="28"/>
        </w:rPr>
      </w:pPr>
      <w:r>
        <w:rPr>
          <w:rFonts w:hint="eastAsia" w:ascii="仿宋_GB2312" w:hAnsi="仿宋_GB2312" w:eastAsia="仿宋_GB2312"/>
          <w:sz w:val="28"/>
          <w:szCs w:val="28"/>
        </w:rPr>
        <w:t>本工程约定的工程质量保修金为合同结算总价的百分之</w:t>
      </w:r>
      <w:r>
        <w:rPr>
          <w:rFonts w:hint="eastAsia" w:ascii="仿宋_GB2312" w:hAnsi="仿宋_GB2312" w:eastAsia="仿宋_GB2312"/>
          <w:sz w:val="28"/>
          <w:szCs w:val="28"/>
          <w:highlight w:val="none"/>
          <w:lang w:val="en-US" w:eastAsia="zh-CN"/>
        </w:rPr>
        <w:t>3</w:t>
      </w:r>
      <w:r>
        <w:rPr>
          <w:rFonts w:hint="eastAsia" w:ascii="仿宋_GB2312" w:hAnsi="仿宋_GB2312" w:eastAsia="仿宋_GB2312"/>
          <w:sz w:val="28"/>
          <w:szCs w:val="28"/>
          <w:highlight w:val="none"/>
        </w:rPr>
        <w:t>%。</w:t>
      </w:r>
    </w:p>
    <w:p w14:paraId="3D04B5F5">
      <w:pPr>
        <w:autoSpaceDN w:val="0"/>
        <w:snapToGrid w:val="0"/>
        <w:spacing w:before="150" w:after="150" w:line="288" w:lineRule="auto"/>
        <w:rPr>
          <w:rFonts w:hint="eastAsia" w:ascii="仿宋_GB2312" w:hAnsi="仿宋_GB2312" w:eastAsia="仿宋_GB2312"/>
          <w:b/>
          <w:bCs/>
          <w:sz w:val="28"/>
          <w:szCs w:val="28"/>
        </w:rPr>
      </w:pPr>
      <w:r>
        <w:rPr>
          <w:rFonts w:hint="eastAsia" w:ascii="仿宋_GB2312" w:hAnsi="仿宋_GB2312" w:eastAsia="仿宋_GB2312"/>
          <w:b/>
          <w:bCs/>
          <w:sz w:val="28"/>
          <w:szCs w:val="28"/>
        </w:rPr>
        <w:t>九、附件</w:t>
      </w:r>
    </w:p>
    <w:p w14:paraId="014E62F6">
      <w:pPr>
        <w:autoSpaceDN w:val="0"/>
        <w:snapToGrid w:val="0"/>
        <w:spacing w:before="150" w:after="150" w:line="288" w:lineRule="auto"/>
        <w:rPr>
          <w:rFonts w:hint="eastAsia" w:ascii="仿宋_GB2312" w:hAnsi="仿宋_GB2312" w:eastAsia="仿宋_GB2312" w:cs="Times New Roman"/>
          <w:sz w:val="28"/>
          <w:szCs w:val="28"/>
          <w:lang w:val="en-US" w:eastAsia="zh-CN"/>
        </w:rPr>
      </w:pPr>
      <w:r>
        <w:rPr>
          <w:rFonts w:hint="eastAsia" w:ascii="仿宋_GB2312" w:hAnsi="仿宋_GB2312" w:eastAsia="仿宋_GB2312" w:cs="Times New Roman"/>
          <w:sz w:val="28"/>
          <w:szCs w:val="28"/>
          <w:lang w:val="en-US" w:eastAsia="zh-CN"/>
        </w:rPr>
        <w:t>附件1：排洪渠修复方案</w:t>
      </w:r>
    </w:p>
    <w:p w14:paraId="54AF6009">
      <w:pPr>
        <w:autoSpaceDN w:val="0"/>
        <w:snapToGrid w:val="0"/>
        <w:spacing w:before="150" w:after="150" w:line="288" w:lineRule="auto"/>
        <w:rPr>
          <w:rFonts w:hint="default" w:ascii="仿宋_GB2312" w:hAnsi="仿宋_GB2312" w:eastAsia="仿宋_GB2312" w:cs="Times New Roman"/>
          <w:sz w:val="28"/>
          <w:szCs w:val="28"/>
          <w:lang w:val="en-US" w:eastAsia="zh-CN"/>
        </w:rPr>
      </w:pPr>
      <w:r>
        <w:rPr>
          <w:rFonts w:hint="eastAsia" w:ascii="仿宋_GB2312" w:hAnsi="仿宋_GB2312" w:eastAsia="仿宋_GB2312" w:cs="Times New Roman"/>
          <w:sz w:val="28"/>
          <w:szCs w:val="28"/>
          <w:lang w:val="en-US" w:eastAsia="zh-CN"/>
        </w:rPr>
        <w:t>附件2：原料适应性技改项目台风后修缮、改造工程量</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2036">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040D1"/>
    <w:multiLevelType w:val="singleLevel"/>
    <w:tmpl w:val="919040D1"/>
    <w:lvl w:ilvl="0" w:tentative="0">
      <w:start w:val="5"/>
      <w:numFmt w:val="decimal"/>
      <w:suff w:val="nothing"/>
      <w:lvlText w:val="%1、"/>
      <w:lvlJc w:val="left"/>
    </w:lvl>
  </w:abstractNum>
  <w:abstractNum w:abstractNumId="1">
    <w:nsid w:val="001669FC"/>
    <w:multiLevelType w:val="multilevel"/>
    <w:tmpl w:val="001669FC"/>
    <w:lvl w:ilvl="0" w:tentative="0">
      <w:start w:val="1"/>
      <w:numFmt w:val="lowerLetter"/>
      <w:lvlText w:val="%1."/>
      <w:lvlJc w:val="left"/>
      <w:pPr>
        <w:tabs>
          <w:tab w:val="left" w:pos="540"/>
        </w:tabs>
        <w:ind w:left="540" w:hanging="360"/>
      </w:pPr>
      <w:rPr>
        <w:rFonts w:hint="default"/>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2">
    <w:nsid w:val="03312107"/>
    <w:multiLevelType w:val="multilevel"/>
    <w:tmpl w:val="03312107"/>
    <w:lvl w:ilvl="0" w:tentative="0">
      <w:start w:val="1"/>
      <w:numFmt w:val="lowerLetter"/>
      <w:lvlText w:val="%1."/>
      <w:lvlJc w:val="left"/>
      <w:pPr>
        <w:tabs>
          <w:tab w:val="left" w:pos="541"/>
        </w:tabs>
        <w:ind w:left="541" w:hanging="360"/>
      </w:pPr>
      <w:rPr>
        <w:rFonts w:hint="default"/>
      </w:rPr>
    </w:lvl>
    <w:lvl w:ilvl="1" w:tentative="0">
      <w:start w:val="1"/>
      <w:numFmt w:val="decimal"/>
      <w:lvlText w:val="%2、"/>
      <w:lvlJc w:val="left"/>
      <w:pPr>
        <w:tabs>
          <w:tab w:val="left" w:pos="961"/>
        </w:tabs>
        <w:ind w:left="961" w:hanging="360"/>
      </w:pPr>
      <w:rPr>
        <w:rFonts w:ascii="Times New Roman" w:hAnsi="Times New Roman" w:eastAsia="Times New Roman" w:cs="Times New Roman"/>
      </w:rPr>
    </w:lvl>
    <w:lvl w:ilvl="2" w:tentative="0">
      <w:start w:val="1"/>
      <w:numFmt w:val="decimal"/>
      <w:lvlText w:val="%3."/>
      <w:lvlJc w:val="left"/>
      <w:pPr>
        <w:tabs>
          <w:tab w:val="left" w:pos="1381"/>
        </w:tabs>
        <w:ind w:left="1381" w:hanging="360"/>
      </w:pPr>
      <w:rPr>
        <w:rFonts w:hint="default"/>
      </w:rPr>
    </w:lvl>
    <w:lvl w:ilvl="3" w:tentative="0">
      <w:start w:val="1"/>
      <w:numFmt w:val="decimal"/>
      <w:lvlText w:val="%4."/>
      <w:lvlJc w:val="left"/>
      <w:pPr>
        <w:tabs>
          <w:tab w:val="left" w:pos="1861"/>
        </w:tabs>
        <w:ind w:left="1861" w:hanging="420"/>
      </w:pPr>
    </w:lvl>
    <w:lvl w:ilvl="4" w:tentative="0">
      <w:start w:val="1"/>
      <w:numFmt w:val="lowerLetter"/>
      <w:lvlText w:val="%5)"/>
      <w:lvlJc w:val="left"/>
      <w:pPr>
        <w:tabs>
          <w:tab w:val="left" w:pos="2281"/>
        </w:tabs>
        <w:ind w:left="2281" w:hanging="420"/>
      </w:pPr>
    </w:lvl>
    <w:lvl w:ilvl="5" w:tentative="0">
      <w:start w:val="1"/>
      <w:numFmt w:val="lowerRoman"/>
      <w:lvlText w:val="%6."/>
      <w:lvlJc w:val="right"/>
      <w:pPr>
        <w:tabs>
          <w:tab w:val="left" w:pos="2701"/>
        </w:tabs>
        <w:ind w:left="2701" w:hanging="420"/>
      </w:pPr>
    </w:lvl>
    <w:lvl w:ilvl="6" w:tentative="0">
      <w:start w:val="1"/>
      <w:numFmt w:val="decimal"/>
      <w:lvlText w:val="%7."/>
      <w:lvlJc w:val="left"/>
      <w:pPr>
        <w:tabs>
          <w:tab w:val="left" w:pos="3121"/>
        </w:tabs>
        <w:ind w:left="3121" w:hanging="420"/>
      </w:pPr>
    </w:lvl>
    <w:lvl w:ilvl="7" w:tentative="0">
      <w:start w:val="1"/>
      <w:numFmt w:val="lowerLetter"/>
      <w:lvlText w:val="%8)"/>
      <w:lvlJc w:val="left"/>
      <w:pPr>
        <w:tabs>
          <w:tab w:val="left" w:pos="3541"/>
        </w:tabs>
        <w:ind w:left="3541" w:hanging="420"/>
      </w:pPr>
    </w:lvl>
    <w:lvl w:ilvl="8" w:tentative="0">
      <w:start w:val="1"/>
      <w:numFmt w:val="lowerRoman"/>
      <w:lvlText w:val="%9."/>
      <w:lvlJc w:val="right"/>
      <w:pPr>
        <w:tabs>
          <w:tab w:val="left" w:pos="3961"/>
        </w:tabs>
        <w:ind w:left="3961" w:hanging="420"/>
      </w:pPr>
    </w:lvl>
  </w:abstractNum>
  <w:abstractNum w:abstractNumId="3">
    <w:nsid w:val="160E5191"/>
    <w:multiLevelType w:val="multilevel"/>
    <w:tmpl w:val="160E5191"/>
    <w:lvl w:ilvl="0" w:tentative="0">
      <w:start w:val="1"/>
      <w:numFmt w:val="japaneseCounting"/>
      <w:lvlText w:val="%1、"/>
      <w:lvlJc w:val="left"/>
      <w:pPr>
        <w:tabs>
          <w:tab w:val="left" w:pos="600"/>
        </w:tabs>
        <w:ind w:left="600" w:hanging="420"/>
      </w:pPr>
      <w:rPr>
        <w:rFonts w:hint="default"/>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440"/>
        </w:tabs>
        <w:ind w:left="1440" w:hanging="600"/>
      </w:pPr>
      <w:rPr>
        <w:rFonts w:hint="eastAsia"/>
      </w:rPr>
    </w:lvl>
    <w:lvl w:ilvl="3" w:tentative="0">
      <w:start w:val="1"/>
      <w:numFmt w:val="decimal"/>
      <w:lvlText w:val="%4、"/>
      <w:lvlJc w:val="left"/>
      <w:pPr>
        <w:tabs>
          <w:tab w:val="left" w:pos="780"/>
        </w:tabs>
        <w:ind w:left="780" w:hanging="420"/>
      </w:pPr>
      <w:rPr>
        <w:rFonts w:hint="default" w:ascii="Times New Roman" w:hAnsi="Times New Roman" w:eastAsia="宋体" w:cs="Times New Roman"/>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rPr>
    </w:lvl>
    <w:lvl w:ilvl="6" w:tentative="0">
      <w:start w:val="1"/>
      <w:numFmt w:val="decimal"/>
      <w:lvlText w:val="%7）"/>
      <w:lvlJc w:val="left"/>
      <w:pPr>
        <w:tabs>
          <w:tab w:val="left" w:pos="2880"/>
        </w:tabs>
        <w:ind w:left="2880" w:hanging="360"/>
      </w:pPr>
      <w:rPr>
        <w:rFonts w:hint="default"/>
      </w:rPr>
    </w:lvl>
    <w:lvl w:ilvl="7" w:tentative="0">
      <w:start w:val="1"/>
      <w:numFmt w:val="decimalEnclosedParen"/>
      <w:lvlText w:val="%8"/>
      <w:lvlJc w:val="left"/>
      <w:pPr>
        <w:tabs>
          <w:tab w:val="left" w:pos="502"/>
        </w:tabs>
        <w:ind w:left="502" w:hanging="360"/>
      </w:pPr>
      <w:rPr>
        <w:rFonts w:hint="default"/>
        <w:color w:val="auto"/>
      </w:rPr>
    </w:lvl>
    <w:lvl w:ilvl="8" w:tentative="0">
      <w:start w:val="1"/>
      <w:numFmt w:val="decimal"/>
      <w:lvlText w:val="%9."/>
      <w:lvlJc w:val="left"/>
      <w:pPr>
        <w:tabs>
          <w:tab w:val="left" w:pos="3720"/>
        </w:tabs>
        <w:ind w:left="3720" w:hanging="360"/>
      </w:pPr>
      <w:rPr>
        <w:rFonts w:hint="default"/>
      </w:rPr>
    </w:lvl>
  </w:abstractNum>
  <w:abstractNum w:abstractNumId="4">
    <w:nsid w:val="7D0624D7"/>
    <w:multiLevelType w:val="multilevel"/>
    <w:tmpl w:val="7D0624D7"/>
    <w:lvl w:ilvl="0" w:tentative="0">
      <w:start w:val="1"/>
      <w:numFmt w:val="lowerLetter"/>
      <w:lvlText w:val="%1)"/>
      <w:lvlJc w:val="left"/>
      <w:pPr>
        <w:tabs>
          <w:tab w:val="left" w:pos="779"/>
        </w:tabs>
        <w:ind w:left="779" w:hanging="420"/>
      </w:pPr>
    </w:lvl>
    <w:lvl w:ilvl="1" w:tentative="0">
      <w:start w:val="5"/>
      <w:numFmt w:val="decimal"/>
      <w:lvlText w:val="%2、"/>
      <w:lvlJc w:val="left"/>
      <w:pPr>
        <w:tabs>
          <w:tab w:val="left" w:pos="1139"/>
        </w:tabs>
        <w:ind w:left="1139" w:hanging="360"/>
      </w:pPr>
      <w:rPr>
        <w:rFonts w:hint="default"/>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hODYwMThhOTM0OWUwNmRkMDM4YjU5YWI4MzVlNjkifQ=="/>
  </w:docVars>
  <w:rsids>
    <w:rsidRoot w:val="00172A27"/>
    <w:rsid w:val="0004702B"/>
    <w:rsid w:val="000A631C"/>
    <w:rsid w:val="000B0115"/>
    <w:rsid w:val="000C3B65"/>
    <w:rsid w:val="00173557"/>
    <w:rsid w:val="00185432"/>
    <w:rsid w:val="00185A8E"/>
    <w:rsid w:val="0028560F"/>
    <w:rsid w:val="002B2E0A"/>
    <w:rsid w:val="00313BF6"/>
    <w:rsid w:val="00323551"/>
    <w:rsid w:val="00356A9F"/>
    <w:rsid w:val="00390C59"/>
    <w:rsid w:val="003D0F3D"/>
    <w:rsid w:val="00401081"/>
    <w:rsid w:val="0047574B"/>
    <w:rsid w:val="004B1E20"/>
    <w:rsid w:val="004C59B8"/>
    <w:rsid w:val="004D5652"/>
    <w:rsid w:val="004F0FEA"/>
    <w:rsid w:val="00540500"/>
    <w:rsid w:val="00552C8E"/>
    <w:rsid w:val="005C2F0A"/>
    <w:rsid w:val="005F6721"/>
    <w:rsid w:val="00612B07"/>
    <w:rsid w:val="0069543B"/>
    <w:rsid w:val="0069782A"/>
    <w:rsid w:val="006B08D5"/>
    <w:rsid w:val="006B269F"/>
    <w:rsid w:val="006F1031"/>
    <w:rsid w:val="0071505E"/>
    <w:rsid w:val="0072064F"/>
    <w:rsid w:val="00776C2D"/>
    <w:rsid w:val="00781200"/>
    <w:rsid w:val="00785E8F"/>
    <w:rsid w:val="00824385"/>
    <w:rsid w:val="00835359"/>
    <w:rsid w:val="0088153B"/>
    <w:rsid w:val="008937F1"/>
    <w:rsid w:val="008A328D"/>
    <w:rsid w:val="008A4773"/>
    <w:rsid w:val="008C67D5"/>
    <w:rsid w:val="00905951"/>
    <w:rsid w:val="009352CA"/>
    <w:rsid w:val="009729B0"/>
    <w:rsid w:val="00987787"/>
    <w:rsid w:val="00987E16"/>
    <w:rsid w:val="00A026FF"/>
    <w:rsid w:val="00A3244C"/>
    <w:rsid w:val="00A36343"/>
    <w:rsid w:val="00A73CBD"/>
    <w:rsid w:val="00A96F3E"/>
    <w:rsid w:val="00AB30A1"/>
    <w:rsid w:val="00B01A03"/>
    <w:rsid w:val="00B059E8"/>
    <w:rsid w:val="00B13DC6"/>
    <w:rsid w:val="00BD5877"/>
    <w:rsid w:val="00C2741A"/>
    <w:rsid w:val="00C82894"/>
    <w:rsid w:val="00CA3CB1"/>
    <w:rsid w:val="00CB2B12"/>
    <w:rsid w:val="00CB6D19"/>
    <w:rsid w:val="00CF1611"/>
    <w:rsid w:val="00D94951"/>
    <w:rsid w:val="00DF7C00"/>
    <w:rsid w:val="00E52FA6"/>
    <w:rsid w:val="00E9677D"/>
    <w:rsid w:val="00EB018D"/>
    <w:rsid w:val="00ED7C86"/>
    <w:rsid w:val="00EE1B5F"/>
    <w:rsid w:val="00EF0F06"/>
    <w:rsid w:val="00F754D6"/>
    <w:rsid w:val="02F069E5"/>
    <w:rsid w:val="0312526E"/>
    <w:rsid w:val="035B7130"/>
    <w:rsid w:val="04A930A7"/>
    <w:rsid w:val="04DD4D1A"/>
    <w:rsid w:val="06766CC7"/>
    <w:rsid w:val="098A64BC"/>
    <w:rsid w:val="0ABF22AA"/>
    <w:rsid w:val="0C911BB2"/>
    <w:rsid w:val="0CD8398F"/>
    <w:rsid w:val="0D3C2FAF"/>
    <w:rsid w:val="0FF836D0"/>
    <w:rsid w:val="10957A37"/>
    <w:rsid w:val="12A06CFD"/>
    <w:rsid w:val="12D91328"/>
    <w:rsid w:val="13415893"/>
    <w:rsid w:val="146B46DE"/>
    <w:rsid w:val="14720225"/>
    <w:rsid w:val="14CD5DA3"/>
    <w:rsid w:val="162B3415"/>
    <w:rsid w:val="1660002A"/>
    <w:rsid w:val="1A433DA7"/>
    <w:rsid w:val="1A8D6C7F"/>
    <w:rsid w:val="1AF7195E"/>
    <w:rsid w:val="1AFF73B5"/>
    <w:rsid w:val="1F5B4E5A"/>
    <w:rsid w:val="206071DB"/>
    <w:rsid w:val="20BD2CAF"/>
    <w:rsid w:val="21293E99"/>
    <w:rsid w:val="22FA2B18"/>
    <w:rsid w:val="23467282"/>
    <w:rsid w:val="272C0399"/>
    <w:rsid w:val="28A7603E"/>
    <w:rsid w:val="28EB1E4E"/>
    <w:rsid w:val="29350CAA"/>
    <w:rsid w:val="298E38FB"/>
    <w:rsid w:val="2AAF3B29"/>
    <w:rsid w:val="2C873D43"/>
    <w:rsid w:val="2E714399"/>
    <w:rsid w:val="30BE0B43"/>
    <w:rsid w:val="31616CEE"/>
    <w:rsid w:val="316870EE"/>
    <w:rsid w:val="33B73A4E"/>
    <w:rsid w:val="358A5A82"/>
    <w:rsid w:val="35C9666D"/>
    <w:rsid w:val="35DA1645"/>
    <w:rsid w:val="363A180F"/>
    <w:rsid w:val="38D7659A"/>
    <w:rsid w:val="3C8F5989"/>
    <w:rsid w:val="42E1384A"/>
    <w:rsid w:val="43D066D0"/>
    <w:rsid w:val="445C3897"/>
    <w:rsid w:val="445E5EE3"/>
    <w:rsid w:val="45FF589E"/>
    <w:rsid w:val="46D84972"/>
    <w:rsid w:val="48C11CA1"/>
    <w:rsid w:val="49D40AED"/>
    <w:rsid w:val="4BAB6C60"/>
    <w:rsid w:val="4C95152E"/>
    <w:rsid w:val="4E034C72"/>
    <w:rsid w:val="4F176D28"/>
    <w:rsid w:val="50527440"/>
    <w:rsid w:val="50EC0D83"/>
    <w:rsid w:val="53A15EA4"/>
    <w:rsid w:val="5577233B"/>
    <w:rsid w:val="55A9718D"/>
    <w:rsid w:val="560F03EB"/>
    <w:rsid w:val="575D0B5E"/>
    <w:rsid w:val="579636F0"/>
    <w:rsid w:val="57B4610E"/>
    <w:rsid w:val="5EAA7669"/>
    <w:rsid w:val="60BD7B24"/>
    <w:rsid w:val="61682E79"/>
    <w:rsid w:val="63794C36"/>
    <w:rsid w:val="63CE4319"/>
    <w:rsid w:val="64092799"/>
    <w:rsid w:val="660758D6"/>
    <w:rsid w:val="66F31E79"/>
    <w:rsid w:val="687E455F"/>
    <w:rsid w:val="691C3175"/>
    <w:rsid w:val="6CED6273"/>
    <w:rsid w:val="6DA00485"/>
    <w:rsid w:val="6E7C5476"/>
    <w:rsid w:val="70424EF0"/>
    <w:rsid w:val="710E3C03"/>
    <w:rsid w:val="721E1A4D"/>
    <w:rsid w:val="722056FC"/>
    <w:rsid w:val="72CE17BD"/>
    <w:rsid w:val="72F12F16"/>
    <w:rsid w:val="73A274B8"/>
    <w:rsid w:val="74873A48"/>
    <w:rsid w:val="75F25C45"/>
    <w:rsid w:val="764E1FBD"/>
    <w:rsid w:val="775B7B96"/>
    <w:rsid w:val="78170E7F"/>
    <w:rsid w:val="79134850"/>
    <w:rsid w:val="7A6F25A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Normal (Web)"/>
    <w:basedOn w:val="1"/>
    <w:link w:val="13"/>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普通(网站) Char"/>
    <w:link w:val="6"/>
    <w:qFormat/>
    <w:locked/>
    <w:uiPriority w:val="0"/>
    <w:rPr>
      <w:rFonts w:ascii="宋体" w:hAnsi="宋体" w:cs="宋体"/>
      <w:sz w:val="24"/>
      <w:szCs w:val="24"/>
    </w:rPr>
  </w:style>
  <w:style w:type="paragraph" w:customStyle="1" w:styleId="1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jun\AppData\Local\Kingsoft\WPS%20Office\12.1.0.2850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Fanimal</Company>
  <Pages>9</Pages>
  <Words>520</Words>
  <Characters>530</Characters>
  <Lines>48</Lines>
  <Paragraphs>13</Paragraphs>
  <TotalTime>0</TotalTime>
  <ScaleCrop>false</ScaleCrop>
  <LinksUpToDate>false</LinksUpToDate>
  <CharactersWithSpaces>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2018-05-08T01:07:00Z</dcterms:created>
  <dc:creator>HuaiweiFeng</dc:creator>
  <cp:lastModifiedBy>hjzhang</cp:lastModifiedBy>
  <dcterms:modified xsi:type="dcterms:W3CDTF">2026-10-19T03:20:09Z</dcterms:modified>
  <dc:title>漳州古雷海腾码头投资管理有限公司综合楼</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CD13FFD046F748009F9B343DFD07F9F0_13</vt:lpwstr>
  </property>
  <property fmtid="{D5CDD505-2E9C-101B-9397-08002B2CF9AE}" pid="4" name="KSOTemplateDocerSaveRecord">
    <vt:lpwstr>eyJoZGlkIjoiM2RjZTMyYzJjNTA4OWEwZTA4YTBlMjcyOTRiYjQzNmYiLCJ1c2VySWQiOiIxNTY4Mzk2MzIyIn0=</vt:lpwstr>
  </property>
</Properties>
</file>