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D88D28">
      <w:pPr>
        <w:pStyle w:val="19"/>
        <w:rPr>
          <w:rFonts w:ascii="Times New Roman"/>
          <w:sz w:val="20"/>
          <w:lang w:eastAsia="zh-CN"/>
        </w:rPr>
      </w:pPr>
    </w:p>
    <w:p w14:paraId="52D4FC8C">
      <w:pPr>
        <w:pStyle w:val="19"/>
        <w:rPr>
          <w:rFonts w:ascii="Times New Roman"/>
          <w:sz w:val="20"/>
        </w:rPr>
      </w:pPr>
    </w:p>
    <w:p w14:paraId="0F2FCD73">
      <w:pPr>
        <w:pStyle w:val="19"/>
        <w:rPr>
          <w:rFonts w:ascii="Times New Roman"/>
          <w:sz w:val="20"/>
        </w:rPr>
      </w:pPr>
    </w:p>
    <w:p w14:paraId="4F55AF36">
      <w:pPr>
        <w:pStyle w:val="19"/>
        <w:rPr>
          <w:rFonts w:ascii="Times New Roman"/>
          <w:sz w:val="20"/>
        </w:rPr>
      </w:pPr>
    </w:p>
    <w:p w14:paraId="40AB4E06">
      <w:pPr>
        <w:pStyle w:val="19"/>
        <w:rPr>
          <w:rFonts w:ascii="Times New Roman"/>
          <w:sz w:val="20"/>
        </w:rPr>
      </w:pPr>
    </w:p>
    <w:p w14:paraId="1F42E810">
      <w:pPr>
        <w:pStyle w:val="19"/>
        <w:spacing w:before="5"/>
        <w:rPr>
          <w:rFonts w:ascii="Times New Roman"/>
          <w:sz w:val="20"/>
        </w:rPr>
      </w:pPr>
    </w:p>
    <w:p w14:paraId="235E6C90">
      <w:pPr>
        <w:pStyle w:val="19"/>
        <w:jc w:val="center"/>
        <w:rPr>
          <w:rFonts w:ascii="微软雅黑" w:eastAsia="微软雅黑"/>
          <w:b/>
          <w:sz w:val="44"/>
          <w:szCs w:val="44"/>
          <w:u w:val="single"/>
          <w:lang w:eastAsia="zh-CN"/>
        </w:rPr>
      </w:pPr>
      <w:r>
        <w:rPr>
          <w:rFonts w:hint="eastAsia" w:ascii="微软雅黑" w:eastAsia="微软雅黑"/>
          <w:b/>
          <w:sz w:val="44"/>
          <w:szCs w:val="44"/>
          <w:u w:val="single"/>
          <w:lang w:eastAsia="zh-CN"/>
        </w:rPr>
        <w:t>福建福海创石油化工有限公司</w:t>
      </w:r>
    </w:p>
    <w:p w14:paraId="44DD47A2">
      <w:pPr>
        <w:pStyle w:val="19"/>
        <w:jc w:val="center"/>
        <w:rPr>
          <w:rFonts w:ascii="微软雅黑"/>
          <w:b/>
          <w:sz w:val="44"/>
          <w:szCs w:val="44"/>
          <w:lang w:eastAsia="zh-CN"/>
        </w:rPr>
      </w:pPr>
      <w:r>
        <w:rPr>
          <w:rFonts w:hint="eastAsia" w:ascii="微软雅黑" w:eastAsia="微软雅黑"/>
          <w:b/>
          <w:sz w:val="44"/>
          <w:szCs w:val="44"/>
          <w:u w:val="single"/>
          <w:lang w:eastAsia="zh-CN"/>
        </w:rPr>
        <w:t>2</w:t>
      </w:r>
      <w:r>
        <w:rPr>
          <w:rFonts w:ascii="微软雅黑" w:eastAsia="微软雅黑"/>
          <w:b/>
          <w:sz w:val="44"/>
          <w:szCs w:val="44"/>
          <w:u w:val="single"/>
          <w:lang w:eastAsia="zh-CN"/>
        </w:rPr>
        <w:t>02</w:t>
      </w:r>
      <w:r>
        <w:rPr>
          <w:rFonts w:hint="eastAsia" w:ascii="微软雅黑" w:eastAsia="微软雅黑"/>
          <w:b/>
          <w:sz w:val="44"/>
          <w:szCs w:val="44"/>
          <w:u w:val="single"/>
          <w:lang w:eastAsia="zh-CN"/>
        </w:rPr>
        <w:t>6</w:t>
      </w:r>
      <w:r>
        <w:rPr>
          <w:rFonts w:ascii="微软雅黑" w:eastAsia="微软雅黑"/>
          <w:b/>
          <w:sz w:val="44"/>
          <w:szCs w:val="44"/>
          <w:u w:val="single"/>
          <w:lang w:eastAsia="zh-CN"/>
        </w:rPr>
        <w:t>年度</w:t>
      </w:r>
      <w:r>
        <w:rPr>
          <w:rFonts w:hint="eastAsia" w:ascii="微软雅黑" w:eastAsia="微软雅黑"/>
          <w:b/>
          <w:sz w:val="44"/>
          <w:szCs w:val="44"/>
          <w:u w:val="single"/>
          <w:lang w:eastAsia="zh-CN"/>
        </w:rPr>
        <w:t>火灾高危单位消防安全评估服务</w:t>
      </w:r>
    </w:p>
    <w:p w14:paraId="0C1C24A9">
      <w:pPr>
        <w:pStyle w:val="19"/>
        <w:spacing w:before="4"/>
        <w:rPr>
          <w:rFonts w:ascii="微软雅黑"/>
          <w:b/>
          <w:sz w:val="39"/>
          <w:lang w:eastAsia="zh-CN"/>
        </w:rPr>
      </w:pPr>
    </w:p>
    <w:p w14:paraId="73E8083A">
      <w:pPr>
        <w:ind w:left="169"/>
        <w:jc w:val="center"/>
        <w:rPr>
          <w:rFonts w:ascii="微软雅黑" w:eastAsia="微软雅黑"/>
          <w:b/>
          <w:sz w:val="52"/>
          <w:szCs w:val="52"/>
          <w:lang w:eastAsia="zh-CN"/>
        </w:rPr>
      </w:pPr>
      <w:r>
        <w:rPr>
          <w:rFonts w:hint="eastAsia" w:ascii="微软雅黑" w:eastAsia="微软雅黑"/>
          <w:b/>
          <w:sz w:val="52"/>
          <w:szCs w:val="52"/>
          <w:lang w:eastAsia="zh-CN"/>
        </w:rPr>
        <w:t>询比文件</w:t>
      </w:r>
    </w:p>
    <w:p w14:paraId="7AA3FBB8">
      <w:pPr>
        <w:pStyle w:val="54"/>
        <w:jc w:val="center"/>
        <w:rPr>
          <w:sz w:val="28"/>
          <w:szCs w:val="28"/>
        </w:rPr>
      </w:pPr>
      <w:r>
        <w:rPr>
          <w:rFonts w:hint="eastAsia"/>
          <w:sz w:val="28"/>
          <w:szCs w:val="28"/>
        </w:rPr>
        <w:t>（文件编号：</w:t>
      </w:r>
      <w:r>
        <w:rPr>
          <w:rFonts w:hint="eastAsia"/>
          <w:sz w:val="28"/>
          <w:szCs w:val="28"/>
          <w:u w:val="single"/>
        </w:rPr>
        <w:t>PB261022000023</w:t>
      </w:r>
      <w:r>
        <w:rPr>
          <w:rFonts w:hint="eastAsia"/>
          <w:sz w:val="28"/>
          <w:szCs w:val="28"/>
        </w:rPr>
        <w:t xml:space="preserve"> ）</w:t>
      </w:r>
    </w:p>
    <w:p w14:paraId="6810FFA8">
      <w:pPr>
        <w:pStyle w:val="19"/>
        <w:rPr>
          <w:rFonts w:ascii="微软雅黑"/>
          <w:b/>
          <w:sz w:val="94"/>
          <w:lang w:eastAsia="zh-CN"/>
        </w:rPr>
      </w:pPr>
    </w:p>
    <w:p w14:paraId="3C72B317">
      <w:pPr>
        <w:pStyle w:val="19"/>
        <w:rPr>
          <w:rFonts w:ascii="微软雅黑"/>
          <w:b/>
          <w:sz w:val="94"/>
          <w:lang w:eastAsia="zh-CN"/>
        </w:rPr>
      </w:pPr>
    </w:p>
    <w:p w14:paraId="5B8B378F">
      <w:pPr>
        <w:pStyle w:val="19"/>
        <w:rPr>
          <w:rFonts w:ascii="微软雅黑"/>
          <w:b/>
          <w:sz w:val="32"/>
          <w:szCs w:val="32"/>
          <w:lang w:eastAsia="zh-CN"/>
        </w:rPr>
      </w:pPr>
    </w:p>
    <w:p w14:paraId="2B1FE1E8">
      <w:pPr>
        <w:pStyle w:val="19"/>
        <w:rPr>
          <w:rFonts w:ascii="微软雅黑"/>
          <w:b/>
          <w:sz w:val="32"/>
          <w:szCs w:val="32"/>
          <w:lang w:eastAsia="zh-CN"/>
        </w:rPr>
      </w:pPr>
    </w:p>
    <w:p w14:paraId="591B4383">
      <w:pPr>
        <w:pStyle w:val="54"/>
        <w:jc w:val="center"/>
        <w:rPr>
          <w:rFonts w:ascii="微软雅黑" w:hAnsi="微软雅黑" w:eastAsia="微软雅黑"/>
          <w:b/>
          <w:sz w:val="28"/>
          <w:szCs w:val="28"/>
        </w:rPr>
      </w:pPr>
      <w:r>
        <w:rPr>
          <w:rFonts w:hint="eastAsia" w:ascii="微软雅黑" w:hAnsi="微软雅黑" w:eastAsia="微软雅黑"/>
          <w:b/>
          <w:sz w:val="28"/>
          <w:szCs w:val="28"/>
        </w:rPr>
        <w:t xml:space="preserve">       福建福海创石油化工有限公司编制</w:t>
      </w:r>
    </w:p>
    <w:p w14:paraId="42B82D94">
      <w:pPr>
        <w:spacing w:line="271" w:lineRule="auto"/>
        <w:ind w:left="2061" w:right="1889"/>
        <w:jc w:val="center"/>
        <w:rPr>
          <w:rFonts w:ascii="微软雅黑" w:eastAsia="微软雅黑"/>
          <w:b/>
          <w:sz w:val="32"/>
          <w:lang w:eastAsia="zh-CN"/>
        </w:rPr>
      </w:pPr>
      <w:r>
        <w:rPr>
          <w:rFonts w:hint="eastAsia" w:ascii="微软雅黑" w:eastAsia="微软雅黑"/>
          <w:b/>
          <w:w w:val="95"/>
          <w:sz w:val="32"/>
          <w:lang w:eastAsia="zh-CN"/>
        </w:rPr>
        <w:t>二〇二六年十一月</w:t>
      </w:r>
    </w:p>
    <w:p w14:paraId="7B39BDCA">
      <w:pPr>
        <w:spacing w:line="271" w:lineRule="auto"/>
        <w:jc w:val="center"/>
        <w:rPr>
          <w:rFonts w:ascii="微软雅黑" w:eastAsia="微软雅黑"/>
          <w:sz w:val="32"/>
          <w:lang w:eastAsia="zh-CN"/>
        </w:rPr>
        <w:sectPr>
          <w:type w:val="continuous"/>
          <w:pgSz w:w="11910" w:h="16840"/>
          <w:pgMar w:top="1600" w:right="1680" w:bottom="280" w:left="1680" w:header="720" w:footer="720" w:gutter="0"/>
          <w:cols w:space="720" w:num="1"/>
        </w:sectPr>
      </w:pPr>
    </w:p>
    <w:p w14:paraId="3CCAEAF0">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14:paraId="0B160B18">
      <w:pPr>
        <w:pStyle w:val="19"/>
        <w:rPr>
          <w:rFonts w:ascii="黑体"/>
          <w:sz w:val="20"/>
          <w:lang w:eastAsia="zh-CN"/>
        </w:rPr>
      </w:pPr>
    </w:p>
    <w:p w14:paraId="4EA22546">
      <w:pPr>
        <w:pStyle w:val="19"/>
        <w:rPr>
          <w:rFonts w:ascii="黑体"/>
          <w:sz w:val="20"/>
          <w:lang w:eastAsia="zh-CN"/>
        </w:rPr>
      </w:pPr>
    </w:p>
    <w:p w14:paraId="0DFD197B">
      <w:pPr>
        <w:pStyle w:val="19"/>
        <w:spacing w:before="9"/>
        <w:rPr>
          <w:rFonts w:ascii="黑体"/>
          <w:lang w:eastAsia="zh-CN"/>
        </w:rPr>
      </w:pPr>
    </w:p>
    <w:p w14:paraId="342C2998">
      <w:pPr>
        <w:tabs>
          <w:tab w:val="left" w:pos="1627"/>
        </w:tabs>
        <w:spacing w:before="15" w:line="408" w:lineRule="auto"/>
        <w:ind w:left="367" w:right="6136"/>
        <w:rPr>
          <w:sz w:val="28"/>
          <w:lang w:eastAsia="zh-CN"/>
        </w:rPr>
      </w:pPr>
      <w:r>
        <w:rPr>
          <w:sz w:val="28"/>
          <w:lang w:eastAsia="zh-CN"/>
        </w:rPr>
        <w:t>第</w:t>
      </w:r>
      <w:r>
        <w:rPr>
          <w:spacing w:val="-3"/>
          <w:sz w:val="28"/>
          <w:lang w:eastAsia="zh-CN"/>
        </w:rPr>
        <w:t>一</w:t>
      </w:r>
      <w:r>
        <w:rPr>
          <w:sz w:val="28"/>
          <w:lang w:eastAsia="zh-CN"/>
        </w:rPr>
        <w:t>章</w:t>
      </w:r>
      <w:r>
        <w:rPr>
          <w:sz w:val="28"/>
          <w:lang w:eastAsia="zh-CN"/>
        </w:rPr>
        <w:tab/>
      </w:r>
      <w:r>
        <w:rPr>
          <w:spacing w:val="-1"/>
          <w:sz w:val="28"/>
          <w:lang w:eastAsia="zh-CN"/>
        </w:rPr>
        <w:t>询比公</w:t>
      </w:r>
      <w:r>
        <w:rPr>
          <w:sz w:val="28"/>
          <w:lang w:eastAsia="zh-CN"/>
        </w:rPr>
        <w:t>告 第</w:t>
      </w:r>
      <w:r>
        <w:rPr>
          <w:spacing w:val="-3"/>
          <w:sz w:val="28"/>
          <w:lang w:eastAsia="zh-CN"/>
        </w:rPr>
        <w:t>二</w:t>
      </w:r>
      <w:r>
        <w:rPr>
          <w:sz w:val="28"/>
          <w:lang w:eastAsia="zh-CN"/>
        </w:rPr>
        <w:t>章</w:t>
      </w:r>
      <w:r>
        <w:rPr>
          <w:sz w:val="28"/>
          <w:lang w:eastAsia="zh-CN"/>
        </w:rPr>
        <w:tab/>
      </w:r>
      <w:r>
        <w:rPr>
          <w:spacing w:val="-1"/>
          <w:sz w:val="28"/>
          <w:lang w:eastAsia="zh-CN"/>
        </w:rPr>
        <w:t>询比须</w:t>
      </w:r>
      <w:r>
        <w:rPr>
          <w:sz w:val="28"/>
          <w:lang w:eastAsia="zh-CN"/>
        </w:rPr>
        <w:t>知</w:t>
      </w:r>
    </w:p>
    <w:p w14:paraId="36740B85">
      <w:pPr>
        <w:tabs>
          <w:tab w:val="left" w:pos="1627"/>
        </w:tabs>
        <w:spacing w:before="61" w:line="408" w:lineRule="auto"/>
        <w:ind w:left="367" w:right="5296"/>
        <w:rPr>
          <w:sz w:val="28"/>
          <w:lang w:eastAsia="zh-CN"/>
        </w:rPr>
      </w:pPr>
      <w:r>
        <w:rPr>
          <w:sz w:val="28"/>
          <w:lang w:eastAsia="zh-CN"/>
        </w:rPr>
        <w:t>第</w:t>
      </w:r>
      <w:r>
        <w:rPr>
          <w:spacing w:val="-3"/>
          <w:sz w:val="28"/>
          <w:lang w:eastAsia="zh-CN"/>
        </w:rPr>
        <w:t>三</w:t>
      </w:r>
      <w:r>
        <w:rPr>
          <w:sz w:val="28"/>
          <w:lang w:eastAsia="zh-CN"/>
        </w:rPr>
        <w:t>章</w:t>
      </w:r>
      <w:r>
        <w:rPr>
          <w:sz w:val="28"/>
          <w:lang w:eastAsia="zh-CN"/>
        </w:rPr>
        <w:tab/>
      </w:r>
      <w:r>
        <w:rPr>
          <w:spacing w:val="-1"/>
          <w:sz w:val="28"/>
          <w:lang w:eastAsia="zh-CN"/>
        </w:rPr>
        <w:t>参</w:t>
      </w:r>
      <w:r>
        <w:rPr>
          <w:spacing w:val="-3"/>
          <w:sz w:val="28"/>
          <w:lang w:eastAsia="zh-CN"/>
        </w:rPr>
        <w:t>选</w:t>
      </w:r>
      <w:r>
        <w:rPr>
          <w:spacing w:val="-1"/>
          <w:sz w:val="28"/>
          <w:lang w:eastAsia="zh-CN"/>
        </w:rPr>
        <w:t>文件</w:t>
      </w:r>
      <w:r>
        <w:rPr>
          <w:spacing w:val="-3"/>
          <w:sz w:val="28"/>
          <w:lang w:eastAsia="zh-CN"/>
        </w:rPr>
        <w:t>的</w:t>
      </w:r>
      <w:r>
        <w:rPr>
          <w:spacing w:val="-1"/>
          <w:sz w:val="28"/>
          <w:lang w:eastAsia="zh-CN"/>
        </w:rPr>
        <w:t>编</w:t>
      </w:r>
      <w:r>
        <w:rPr>
          <w:sz w:val="28"/>
          <w:lang w:eastAsia="zh-CN"/>
        </w:rPr>
        <w:t>制 第</w:t>
      </w:r>
      <w:r>
        <w:rPr>
          <w:spacing w:val="-3"/>
          <w:sz w:val="28"/>
          <w:lang w:eastAsia="zh-CN"/>
        </w:rPr>
        <w:t>四</w:t>
      </w:r>
      <w:r>
        <w:rPr>
          <w:sz w:val="28"/>
          <w:lang w:eastAsia="zh-CN"/>
        </w:rPr>
        <w:t>章</w:t>
      </w:r>
      <w:r>
        <w:rPr>
          <w:sz w:val="28"/>
          <w:lang w:eastAsia="zh-CN"/>
        </w:rPr>
        <w:tab/>
      </w:r>
      <w:r>
        <w:rPr>
          <w:spacing w:val="-1"/>
          <w:sz w:val="28"/>
          <w:lang w:eastAsia="zh-CN"/>
        </w:rPr>
        <w:t>评</w:t>
      </w:r>
      <w:r>
        <w:rPr>
          <w:spacing w:val="-3"/>
          <w:sz w:val="28"/>
          <w:lang w:eastAsia="zh-CN"/>
        </w:rPr>
        <w:t>比</w:t>
      </w:r>
      <w:r>
        <w:rPr>
          <w:spacing w:val="-1"/>
          <w:sz w:val="28"/>
          <w:lang w:eastAsia="zh-CN"/>
        </w:rPr>
        <w:t>规</w:t>
      </w:r>
      <w:r>
        <w:rPr>
          <w:sz w:val="28"/>
          <w:lang w:eastAsia="zh-CN"/>
        </w:rPr>
        <w:t>则</w:t>
      </w:r>
    </w:p>
    <w:p w14:paraId="22C420E1">
      <w:pPr>
        <w:tabs>
          <w:tab w:val="left" w:pos="1627"/>
        </w:tabs>
        <w:spacing w:before="61"/>
        <w:ind w:left="367"/>
        <w:rPr>
          <w:sz w:val="28"/>
          <w:lang w:eastAsia="zh-CN"/>
        </w:rPr>
      </w:pPr>
      <w:r>
        <w:rPr>
          <w:sz w:val="28"/>
          <w:lang w:eastAsia="zh-CN"/>
        </w:rPr>
        <w:t>第</w:t>
      </w:r>
      <w:r>
        <w:rPr>
          <w:spacing w:val="-3"/>
          <w:sz w:val="28"/>
          <w:lang w:eastAsia="zh-CN"/>
        </w:rPr>
        <w:t>五</w:t>
      </w:r>
      <w:r>
        <w:rPr>
          <w:sz w:val="28"/>
          <w:lang w:eastAsia="zh-CN"/>
        </w:rPr>
        <w:t>章</w:t>
      </w:r>
      <w:r>
        <w:rPr>
          <w:sz w:val="28"/>
          <w:lang w:eastAsia="zh-CN"/>
        </w:rPr>
        <w:tab/>
      </w:r>
      <w:r>
        <w:rPr>
          <w:spacing w:val="-1"/>
          <w:sz w:val="28"/>
          <w:lang w:eastAsia="zh-CN"/>
        </w:rPr>
        <w:t>合</w:t>
      </w:r>
      <w:r>
        <w:rPr>
          <w:spacing w:val="-3"/>
          <w:sz w:val="28"/>
          <w:lang w:eastAsia="zh-CN"/>
        </w:rPr>
        <w:t>同</w:t>
      </w:r>
      <w:r>
        <w:rPr>
          <w:spacing w:val="-1"/>
          <w:sz w:val="28"/>
          <w:lang w:eastAsia="zh-CN"/>
        </w:rPr>
        <w:t>授</w:t>
      </w:r>
      <w:r>
        <w:rPr>
          <w:sz w:val="28"/>
          <w:lang w:eastAsia="zh-CN"/>
        </w:rPr>
        <w:t>予</w:t>
      </w:r>
    </w:p>
    <w:p w14:paraId="34626A56">
      <w:pPr>
        <w:pStyle w:val="19"/>
        <w:spacing w:before="8"/>
        <w:rPr>
          <w:sz w:val="19"/>
          <w:lang w:eastAsia="zh-CN"/>
        </w:rPr>
      </w:pPr>
    </w:p>
    <w:p w14:paraId="6A3F2C3C">
      <w:pPr>
        <w:tabs>
          <w:tab w:val="left" w:pos="1627"/>
        </w:tabs>
        <w:spacing w:before="1" w:line="408" w:lineRule="auto"/>
        <w:ind w:left="367" w:right="4737"/>
        <w:rPr>
          <w:sz w:val="28"/>
          <w:lang w:eastAsia="zh-CN"/>
        </w:rPr>
      </w:pPr>
      <w:r>
        <w:rPr>
          <w:sz w:val="28"/>
          <w:lang w:eastAsia="zh-CN"/>
        </w:rPr>
        <w:t>第</w:t>
      </w:r>
      <w:r>
        <w:rPr>
          <w:spacing w:val="-3"/>
          <w:sz w:val="28"/>
          <w:lang w:eastAsia="zh-CN"/>
        </w:rPr>
        <w:t>六</w:t>
      </w:r>
      <w:r>
        <w:rPr>
          <w:sz w:val="28"/>
          <w:lang w:eastAsia="zh-CN"/>
        </w:rPr>
        <w:t>章</w:t>
      </w:r>
      <w:r>
        <w:rPr>
          <w:sz w:val="28"/>
          <w:lang w:eastAsia="zh-CN"/>
        </w:rPr>
        <w:tab/>
      </w:r>
      <w:r>
        <w:rPr>
          <w:spacing w:val="-1"/>
          <w:sz w:val="28"/>
          <w:lang w:eastAsia="zh-CN"/>
        </w:rPr>
        <w:t>中</w:t>
      </w:r>
      <w:r>
        <w:rPr>
          <w:spacing w:val="-3"/>
          <w:sz w:val="28"/>
          <w:lang w:eastAsia="zh-CN"/>
        </w:rPr>
        <w:t>选</w:t>
      </w:r>
      <w:r>
        <w:rPr>
          <w:spacing w:val="-1"/>
          <w:sz w:val="28"/>
          <w:lang w:eastAsia="zh-CN"/>
        </w:rPr>
        <w:t>后相</w:t>
      </w:r>
      <w:r>
        <w:rPr>
          <w:spacing w:val="-3"/>
          <w:sz w:val="28"/>
          <w:lang w:eastAsia="zh-CN"/>
        </w:rPr>
        <w:t>关</w:t>
      </w:r>
      <w:r>
        <w:rPr>
          <w:spacing w:val="-1"/>
          <w:sz w:val="28"/>
          <w:lang w:eastAsia="zh-CN"/>
        </w:rPr>
        <w:t>履约</w:t>
      </w:r>
      <w:r>
        <w:rPr>
          <w:spacing w:val="-3"/>
          <w:sz w:val="28"/>
          <w:lang w:eastAsia="zh-CN"/>
        </w:rPr>
        <w:t>要</w:t>
      </w:r>
      <w:r>
        <w:rPr>
          <w:sz w:val="28"/>
          <w:lang w:eastAsia="zh-CN"/>
        </w:rPr>
        <w:t>求 第</w:t>
      </w:r>
      <w:r>
        <w:rPr>
          <w:spacing w:val="-3"/>
          <w:sz w:val="28"/>
          <w:lang w:eastAsia="zh-CN"/>
        </w:rPr>
        <w:t>七</w:t>
      </w:r>
      <w:r>
        <w:rPr>
          <w:sz w:val="28"/>
          <w:lang w:eastAsia="zh-CN"/>
        </w:rPr>
        <w:t>章</w:t>
      </w:r>
      <w:r>
        <w:rPr>
          <w:sz w:val="28"/>
          <w:lang w:eastAsia="zh-CN"/>
        </w:rPr>
        <w:tab/>
      </w:r>
      <w:r>
        <w:rPr>
          <w:spacing w:val="-1"/>
          <w:sz w:val="28"/>
          <w:lang w:eastAsia="zh-CN"/>
        </w:rPr>
        <w:t>其</w:t>
      </w:r>
      <w:r>
        <w:rPr>
          <w:sz w:val="28"/>
          <w:lang w:eastAsia="zh-CN"/>
        </w:rPr>
        <w:t>它</w:t>
      </w:r>
    </w:p>
    <w:p w14:paraId="3B5C0E26">
      <w:pPr>
        <w:pStyle w:val="19"/>
        <w:rPr>
          <w:sz w:val="28"/>
          <w:lang w:eastAsia="zh-CN"/>
        </w:rPr>
      </w:pPr>
    </w:p>
    <w:p w14:paraId="5BCAF596">
      <w:pPr>
        <w:pStyle w:val="19"/>
        <w:rPr>
          <w:sz w:val="28"/>
          <w:lang w:eastAsia="zh-CN"/>
        </w:rPr>
      </w:pPr>
    </w:p>
    <w:p w14:paraId="1F27FE59">
      <w:pPr>
        <w:pStyle w:val="19"/>
        <w:rPr>
          <w:sz w:val="28"/>
          <w:lang w:eastAsia="zh-CN"/>
        </w:rPr>
      </w:pPr>
    </w:p>
    <w:p w14:paraId="7101ADBE">
      <w:pPr>
        <w:pStyle w:val="19"/>
        <w:rPr>
          <w:sz w:val="28"/>
          <w:lang w:eastAsia="zh-CN"/>
        </w:rPr>
      </w:pPr>
    </w:p>
    <w:p w14:paraId="6B645032">
      <w:pPr>
        <w:pStyle w:val="19"/>
        <w:spacing w:before="10"/>
        <w:rPr>
          <w:sz w:val="35"/>
          <w:lang w:eastAsia="zh-CN"/>
        </w:rPr>
      </w:pPr>
    </w:p>
    <w:p w14:paraId="1403ACE3">
      <w:pPr>
        <w:spacing w:line="408" w:lineRule="auto"/>
        <w:ind w:left="220" w:leftChars="100" w:right="103"/>
        <w:rPr>
          <w:sz w:val="28"/>
          <w:lang w:eastAsia="zh-CN"/>
        </w:rPr>
      </w:pPr>
      <w:r>
        <w:rPr>
          <w:sz w:val="28"/>
          <w:lang w:eastAsia="zh-CN"/>
        </w:rPr>
        <w:t>附件一</w:t>
      </w:r>
      <w:r>
        <w:rPr>
          <w:rFonts w:hint="eastAsia"/>
          <w:sz w:val="28"/>
          <w:lang w:eastAsia="zh-CN"/>
        </w:rPr>
        <w:t>：合同条款</w:t>
      </w:r>
    </w:p>
    <w:p w14:paraId="3F776D34">
      <w:pPr>
        <w:spacing w:line="408" w:lineRule="auto"/>
        <w:ind w:left="220" w:leftChars="100" w:right="103"/>
        <w:rPr>
          <w:sz w:val="28"/>
          <w:lang w:eastAsia="zh-CN"/>
        </w:rPr>
      </w:pPr>
      <w:r>
        <w:rPr>
          <w:sz w:val="28"/>
          <w:lang w:eastAsia="zh-CN"/>
        </w:rPr>
        <w:t>附件二：参选文件（范本）</w:t>
      </w:r>
    </w:p>
    <w:p w14:paraId="1564466F">
      <w:pPr>
        <w:spacing w:line="408" w:lineRule="auto"/>
        <w:rPr>
          <w:sz w:val="28"/>
          <w:lang w:eastAsia="zh-CN"/>
        </w:rPr>
        <w:sectPr>
          <w:footerReference r:id="rId3" w:type="default"/>
          <w:pgSz w:w="11910" w:h="16840"/>
          <w:pgMar w:top="1480" w:right="1340" w:bottom="740" w:left="1680" w:header="0" w:footer="551" w:gutter="0"/>
          <w:pgNumType w:start="1"/>
          <w:cols w:space="720" w:num="1"/>
        </w:sectPr>
      </w:pPr>
    </w:p>
    <w:p w14:paraId="7B611557">
      <w:pPr>
        <w:tabs>
          <w:tab w:val="left" w:pos="1272"/>
        </w:tabs>
        <w:spacing w:line="360" w:lineRule="auto"/>
        <w:jc w:val="center"/>
        <w:rPr>
          <w:b/>
          <w:sz w:val="28"/>
          <w:lang w:eastAsia="zh-CN"/>
        </w:rPr>
      </w:pPr>
      <w:r>
        <w:rPr>
          <w:b/>
          <w:sz w:val="28"/>
          <w:lang w:eastAsia="zh-CN"/>
        </w:rPr>
        <w:t>第一章</w:t>
      </w:r>
      <w:r>
        <w:rPr>
          <w:b/>
          <w:sz w:val="28"/>
          <w:lang w:eastAsia="zh-CN"/>
        </w:rPr>
        <w:tab/>
      </w:r>
      <w:r>
        <w:rPr>
          <w:b/>
          <w:spacing w:val="-1"/>
          <w:w w:val="95"/>
          <w:sz w:val="28"/>
          <w:lang w:eastAsia="zh-CN"/>
        </w:rPr>
        <w:t>询比公</w:t>
      </w:r>
      <w:r>
        <w:rPr>
          <w:b/>
          <w:w w:val="95"/>
          <w:sz w:val="28"/>
          <w:lang w:eastAsia="zh-CN"/>
        </w:rPr>
        <w:t>告</w:t>
      </w:r>
    </w:p>
    <w:p w14:paraId="0A532747">
      <w:pPr>
        <w:pStyle w:val="19"/>
        <w:spacing w:line="440" w:lineRule="exact"/>
        <w:ind w:firstLine="511"/>
        <w:rPr>
          <w:lang w:eastAsia="zh-CN"/>
        </w:rPr>
      </w:pPr>
      <w:r>
        <w:rPr>
          <w:rFonts w:hint="eastAsia"/>
          <w:lang w:eastAsia="zh-CN"/>
        </w:rPr>
        <w:t>福建福海创石油化工</w:t>
      </w:r>
      <w:r>
        <w:rPr>
          <w:lang w:eastAsia="zh-CN"/>
        </w:rPr>
        <w:t>有限公司拟对本公司</w:t>
      </w:r>
      <w:r>
        <w:rPr>
          <w:rFonts w:hint="eastAsia"/>
          <w:u w:val="single"/>
          <w:lang w:eastAsia="zh-CN"/>
        </w:rPr>
        <w:t>2</w:t>
      </w:r>
      <w:r>
        <w:rPr>
          <w:u w:val="single"/>
          <w:lang w:eastAsia="zh-CN"/>
        </w:rPr>
        <w:t>02</w:t>
      </w:r>
      <w:r>
        <w:rPr>
          <w:rFonts w:hint="eastAsia"/>
          <w:u w:val="single"/>
          <w:lang w:eastAsia="zh-CN"/>
        </w:rPr>
        <w:t>6</w:t>
      </w:r>
      <w:r>
        <w:rPr>
          <w:u w:val="single"/>
          <w:lang w:eastAsia="zh-CN"/>
        </w:rPr>
        <w:t>年度</w:t>
      </w:r>
      <w:r>
        <w:rPr>
          <w:rFonts w:hint="eastAsia"/>
          <w:u w:val="single"/>
          <w:lang w:eastAsia="zh-CN"/>
        </w:rPr>
        <w:t>火灾高危单位消防安全评估服务</w:t>
      </w:r>
      <w:r>
        <w:rPr>
          <w:lang w:eastAsia="zh-CN"/>
        </w:rPr>
        <w:t>进行公开询比。为了“公开、公平、公正”，引导</w:t>
      </w:r>
      <w:r>
        <w:rPr>
          <w:rFonts w:hint="eastAsia"/>
          <w:lang w:eastAsia="zh-CN"/>
        </w:rPr>
        <w:t>参比人</w:t>
      </w:r>
      <w:r>
        <w:rPr>
          <w:lang w:eastAsia="zh-CN"/>
        </w:rPr>
        <w:t>进行正确参选，特制定本规定文件。</w:t>
      </w:r>
    </w:p>
    <w:p w14:paraId="62102C74">
      <w:pPr>
        <w:pStyle w:val="19"/>
        <w:spacing w:line="440" w:lineRule="exact"/>
        <w:ind w:firstLine="511"/>
        <w:rPr>
          <w:lang w:eastAsia="zh-CN"/>
        </w:rPr>
      </w:pPr>
      <w:r>
        <w:rPr>
          <w:rFonts w:hint="eastAsia"/>
          <w:lang w:eastAsia="zh-CN"/>
        </w:rPr>
        <w:t>福建福海创石油化工</w:t>
      </w:r>
      <w:r>
        <w:rPr>
          <w:lang w:eastAsia="zh-CN"/>
        </w:rPr>
        <w:t>有限公司承诺本次询比不存在任何障碍，保证本公告的内容不存在任何重大遗漏、虚假陈述或严重误导，并对其内容的真实性、完整性和有效性负责。</w:t>
      </w:r>
    </w:p>
    <w:p w14:paraId="6EFD066E">
      <w:pPr>
        <w:autoSpaceDE/>
        <w:autoSpaceDN/>
        <w:spacing w:line="440" w:lineRule="exact"/>
        <w:ind w:firstLine="472" w:firstLineChars="196"/>
        <w:rPr>
          <w:rFonts w:asciiTheme="majorEastAsia" w:hAnsiTheme="majorEastAsia" w:eastAsiaTheme="majorEastAsia"/>
          <w:b/>
          <w:bCs/>
          <w:sz w:val="24"/>
          <w:szCs w:val="24"/>
          <w:lang w:eastAsia="zh-CN"/>
        </w:rPr>
      </w:pPr>
      <w:r>
        <w:rPr>
          <w:rFonts w:hint="eastAsia" w:asciiTheme="majorEastAsia" w:hAnsiTheme="majorEastAsia" w:eastAsiaTheme="majorEastAsia"/>
          <w:b/>
          <w:bCs/>
          <w:sz w:val="24"/>
          <w:szCs w:val="24"/>
          <w:lang w:eastAsia="zh-CN"/>
        </w:rPr>
        <w:t>一、项目概况</w:t>
      </w:r>
    </w:p>
    <w:p w14:paraId="666934DA">
      <w:pPr>
        <w:autoSpaceDE/>
        <w:autoSpaceDN/>
        <w:spacing w:line="440" w:lineRule="exact"/>
        <w:ind w:firstLine="480" w:firstLineChars="200"/>
        <w:rPr>
          <w:rFonts w:asciiTheme="majorEastAsia" w:hAnsiTheme="majorEastAsia" w:eastAsiaTheme="majorEastAsia"/>
          <w:bCs/>
          <w:sz w:val="24"/>
          <w:szCs w:val="24"/>
          <w:lang w:eastAsia="zh-CN"/>
        </w:rPr>
      </w:pPr>
      <w:r>
        <w:rPr>
          <w:rFonts w:asciiTheme="majorEastAsia" w:hAnsiTheme="majorEastAsia" w:eastAsiaTheme="majorEastAsia"/>
          <w:bCs/>
          <w:sz w:val="24"/>
          <w:szCs w:val="24"/>
          <w:lang w:eastAsia="zh-CN"/>
        </w:rPr>
        <w:t xml:space="preserve">1. </w:t>
      </w:r>
      <w:r>
        <w:rPr>
          <w:rFonts w:hint="eastAsia" w:asciiTheme="majorEastAsia" w:hAnsiTheme="majorEastAsia" w:eastAsiaTheme="majorEastAsia"/>
          <w:bCs/>
          <w:sz w:val="24"/>
          <w:szCs w:val="24"/>
          <w:lang w:eastAsia="zh-CN"/>
        </w:rPr>
        <w:t>项目名称：</w:t>
      </w:r>
      <w:r>
        <w:rPr>
          <w:rFonts w:hint="eastAsia"/>
          <w:sz w:val="24"/>
          <w:szCs w:val="24"/>
          <w:u w:val="single"/>
          <w:lang w:eastAsia="zh-CN"/>
        </w:rPr>
        <w:t>2</w:t>
      </w:r>
      <w:r>
        <w:rPr>
          <w:sz w:val="24"/>
          <w:szCs w:val="24"/>
          <w:u w:val="single"/>
          <w:lang w:eastAsia="zh-CN"/>
        </w:rPr>
        <w:t>02</w:t>
      </w:r>
      <w:r>
        <w:rPr>
          <w:rFonts w:hint="eastAsia"/>
          <w:sz w:val="24"/>
          <w:szCs w:val="24"/>
          <w:u w:val="single"/>
          <w:lang w:eastAsia="zh-CN"/>
        </w:rPr>
        <w:t>6</w:t>
      </w:r>
      <w:r>
        <w:rPr>
          <w:sz w:val="24"/>
          <w:szCs w:val="24"/>
          <w:u w:val="single"/>
          <w:lang w:eastAsia="zh-CN"/>
        </w:rPr>
        <w:t>年度</w:t>
      </w:r>
      <w:r>
        <w:rPr>
          <w:rFonts w:hint="eastAsia"/>
          <w:sz w:val="24"/>
          <w:szCs w:val="24"/>
          <w:u w:val="single"/>
          <w:lang w:eastAsia="zh-CN"/>
        </w:rPr>
        <w:t>火灾高危单位消防安全评估服务</w:t>
      </w:r>
    </w:p>
    <w:p w14:paraId="037E07F9">
      <w:pPr>
        <w:pStyle w:val="3"/>
        <w:spacing w:line="440" w:lineRule="exact"/>
        <w:ind w:left="0" w:firstLine="482" w:firstLineChars="200"/>
        <w:rPr>
          <w:lang w:eastAsia="zh-CN"/>
        </w:rPr>
      </w:pPr>
      <w:r>
        <w:rPr>
          <w:rFonts w:asciiTheme="majorEastAsia" w:hAnsiTheme="majorEastAsia" w:eastAsiaTheme="majorEastAsia"/>
          <w:lang w:eastAsia="zh-CN"/>
        </w:rPr>
        <w:t xml:space="preserve">2. </w:t>
      </w:r>
      <w:r>
        <w:rPr>
          <w:rFonts w:hint="eastAsia" w:asciiTheme="majorEastAsia" w:hAnsiTheme="majorEastAsia" w:eastAsiaTheme="majorEastAsia"/>
          <w:b w:val="0"/>
          <w:lang w:eastAsia="zh-CN"/>
        </w:rPr>
        <w:t>项目简要说明：</w:t>
      </w:r>
      <w:r>
        <w:rPr>
          <w:rFonts w:hint="eastAsia" w:asciiTheme="minorEastAsia" w:hAnsiTheme="minorEastAsia" w:eastAsiaTheme="minorEastAsia"/>
          <w:b w:val="0"/>
          <w:lang w:eastAsia="zh-CN"/>
        </w:rPr>
        <w:t>福建福海创石油化工有限公司及腾龙芳烃（漳州）有限公司</w:t>
      </w:r>
      <w:r>
        <w:rPr>
          <w:rFonts w:asciiTheme="minorEastAsia" w:hAnsiTheme="minorEastAsia" w:eastAsiaTheme="minorEastAsia"/>
          <w:b w:val="0"/>
          <w:lang w:eastAsia="zh-CN"/>
        </w:rPr>
        <w:t>属于火灾高危单位。</w:t>
      </w:r>
      <w:r>
        <w:rPr>
          <w:rFonts w:hint="eastAsia" w:asciiTheme="minorEastAsia" w:hAnsiTheme="minorEastAsia" w:eastAsiaTheme="minorEastAsia"/>
          <w:b w:val="0"/>
          <w:lang w:eastAsia="zh-CN"/>
        </w:rPr>
        <w:t>需</w:t>
      </w:r>
      <w:r>
        <w:rPr>
          <w:rFonts w:asciiTheme="minorEastAsia" w:hAnsiTheme="minorEastAsia" w:eastAsiaTheme="minorEastAsia"/>
          <w:b w:val="0"/>
          <w:lang w:eastAsia="zh-CN"/>
        </w:rPr>
        <w:t>委托第三方有消防评估资质的消防安全评估机构进行评估。</w:t>
      </w:r>
      <w:r>
        <w:rPr>
          <w:rFonts w:hint="eastAsia" w:asciiTheme="minorEastAsia" w:hAnsiTheme="minorEastAsia" w:eastAsiaTheme="minorEastAsia"/>
          <w:b w:val="0"/>
          <w:lang w:eastAsia="zh-CN"/>
        </w:rPr>
        <w:t>分别</w:t>
      </w:r>
      <w:r>
        <w:rPr>
          <w:rFonts w:asciiTheme="minorEastAsia" w:hAnsiTheme="minorEastAsia" w:eastAsiaTheme="minorEastAsia"/>
          <w:b w:val="0"/>
          <w:lang w:eastAsia="zh-CN"/>
        </w:rPr>
        <w:t>出具</w:t>
      </w:r>
      <w:r>
        <w:rPr>
          <w:rFonts w:hint="eastAsia" w:asciiTheme="minorEastAsia" w:hAnsiTheme="minorEastAsia" w:eastAsiaTheme="minorEastAsia"/>
          <w:b w:val="0"/>
          <w:lang w:eastAsia="zh-CN"/>
        </w:rPr>
        <w:t>评查</w:t>
      </w:r>
      <w:r>
        <w:rPr>
          <w:rFonts w:asciiTheme="minorEastAsia" w:hAnsiTheme="minorEastAsia" w:eastAsiaTheme="minorEastAsia"/>
          <w:b w:val="0"/>
          <w:lang w:eastAsia="zh-CN"/>
        </w:rPr>
        <w:t>报告，并在福建消防技术服务信息平台备案。</w:t>
      </w:r>
    </w:p>
    <w:p w14:paraId="072C7CEC">
      <w:pPr>
        <w:pStyle w:val="3"/>
        <w:spacing w:line="440" w:lineRule="exact"/>
        <w:ind w:left="0" w:firstLine="566" w:firstLineChars="235"/>
        <w:rPr>
          <w:lang w:eastAsia="zh-CN"/>
        </w:rPr>
      </w:pPr>
      <w:r>
        <w:rPr>
          <w:rFonts w:hint="eastAsia"/>
          <w:lang w:eastAsia="zh-CN"/>
        </w:rPr>
        <w:t>二</w:t>
      </w:r>
      <w:r>
        <w:rPr>
          <w:lang w:eastAsia="zh-CN"/>
        </w:rPr>
        <w:t>、</w:t>
      </w:r>
      <w:r>
        <w:rPr>
          <w:rFonts w:hint="eastAsia"/>
          <w:lang w:eastAsia="zh-CN"/>
        </w:rPr>
        <w:t>参比人</w:t>
      </w:r>
      <w:r>
        <w:rPr>
          <w:lang w:eastAsia="zh-CN"/>
        </w:rPr>
        <w:t>资格要求：</w:t>
      </w:r>
    </w:p>
    <w:p w14:paraId="3703DAB6">
      <w:pPr>
        <w:tabs>
          <w:tab w:val="left" w:pos="709"/>
        </w:tabs>
        <w:spacing w:line="440" w:lineRule="exact"/>
        <w:ind w:firstLine="480" w:firstLineChars="200"/>
        <w:rPr>
          <w:sz w:val="24"/>
          <w:szCs w:val="24"/>
          <w:lang w:eastAsia="zh-CN"/>
        </w:rPr>
      </w:pPr>
      <w:r>
        <w:rPr>
          <w:rFonts w:hint="eastAsia"/>
          <w:sz w:val="24"/>
          <w:szCs w:val="24"/>
          <w:lang w:eastAsia="zh-CN"/>
        </w:rPr>
        <w:t>1.参比人须具备独立法人资格，须持有有效的工商营业执照和税务登记证，</w:t>
      </w:r>
      <w:r>
        <w:rPr>
          <w:rFonts w:hint="eastAsia" w:asciiTheme="minorEastAsia" w:hAnsiTheme="minorEastAsia" w:eastAsiaTheme="minorEastAsia"/>
          <w:sz w:val="24"/>
          <w:szCs w:val="24"/>
          <w:lang w:eastAsia="zh-CN"/>
        </w:rPr>
        <w:t>营业执照经营范围必须包含消防安全评估</w:t>
      </w:r>
      <w:r>
        <w:rPr>
          <w:rFonts w:hint="eastAsia"/>
          <w:sz w:val="24"/>
          <w:szCs w:val="24"/>
          <w:lang w:eastAsia="zh-CN"/>
        </w:rPr>
        <w:t>；</w:t>
      </w:r>
    </w:p>
    <w:p w14:paraId="3053AD0A">
      <w:pPr>
        <w:pStyle w:val="73"/>
        <w:adjustRightInd/>
        <w:spacing w:line="440" w:lineRule="exact"/>
        <w:ind w:firstLine="480" w:firstLineChars="200"/>
        <w:rPr>
          <w:rFonts w:hAnsi="宋体" w:eastAsiaTheme="minorEastAsia"/>
          <w:snapToGrid w:val="0"/>
        </w:rPr>
      </w:pPr>
      <w:r>
        <w:rPr>
          <w:rFonts w:hint="eastAsia"/>
        </w:rPr>
        <w:t>2.参比人必</w:t>
      </w:r>
      <w:r>
        <w:rPr>
          <w:rFonts w:hint="eastAsia" w:hAnsi="宋体" w:eastAsiaTheme="minorEastAsia"/>
          <w:snapToGrid w:val="0"/>
        </w:rPr>
        <w:t>在福建消防的“福建消防技术服务信息平台”消防安全评估机构为“三星及以上”的服务机构</w:t>
      </w:r>
      <w:r>
        <w:rPr>
          <w:rFonts w:hint="eastAsia" w:eastAsiaTheme="minorEastAsia"/>
          <w:snapToGrid w:val="0"/>
        </w:rPr>
        <w:t>；</w:t>
      </w:r>
    </w:p>
    <w:p w14:paraId="6FBE75A1">
      <w:pPr>
        <w:tabs>
          <w:tab w:val="left" w:pos="709"/>
        </w:tabs>
        <w:spacing w:line="440" w:lineRule="exact"/>
        <w:ind w:firstLine="480" w:firstLineChars="200"/>
        <w:rPr>
          <w:bCs/>
          <w:sz w:val="24"/>
          <w:szCs w:val="24"/>
          <w:lang w:eastAsia="zh-CN"/>
        </w:rPr>
      </w:pPr>
      <w:r>
        <w:rPr>
          <w:rFonts w:hint="eastAsia"/>
          <w:sz w:val="24"/>
          <w:szCs w:val="24"/>
          <w:lang w:eastAsia="zh-CN"/>
        </w:rPr>
        <w:t>3.参比人</w:t>
      </w:r>
      <w:r>
        <w:rPr>
          <w:rFonts w:hint="eastAsia"/>
          <w:bCs/>
          <w:sz w:val="24"/>
          <w:szCs w:val="24"/>
          <w:lang w:eastAsia="zh-CN"/>
        </w:rPr>
        <w:t>项目技术负责人具有一级注册消防工程师资格，</w:t>
      </w:r>
      <w:r>
        <w:rPr>
          <w:rFonts w:hint="eastAsia" w:asciiTheme="minorEastAsia" w:hAnsiTheme="minorEastAsia" w:eastAsiaTheme="minorEastAsia"/>
          <w:sz w:val="24"/>
          <w:szCs w:val="24"/>
          <w:lang w:eastAsia="zh-CN"/>
        </w:rPr>
        <w:t>且具有机电、电气自动化、给排水、暖通等专业任意一项的中级及以上职称，并提供相应人员证书及至少一年的本单位社保证明；</w:t>
      </w:r>
    </w:p>
    <w:p w14:paraId="3A968841">
      <w:pPr>
        <w:pStyle w:val="54"/>
        <w:adjustRightInd/>
        <w:spacing w:line="440" w:lineRule="exact"/>
        <w:jc w:val="left"/>
        <w:rPr>
          <w:sz w:val="24"/>
          <w:szCs w:val="24"/>
        </w:rPr>
      </w:pPr>
      <w:r>
        <w:rPr>
          <w:rFonts w:hint="eastAsia"/>
          <w:sz w:val="24"/>
          <w:szCs w:val="24"/>
        </w:rPr>
        <w:t xml:space="preserve"> </w:t>
      </w:r>
      <w:r>
        <w:rPr>
          <w:sz w:val="24"/>
          <w:szCs w:val="24"/>
        </w:rPr>
        <w:t xml:space="preserve">   4.</w:t>
      </w:r>
      <w:r>
        <w:rPr>
          <w:rFonts w:hint="eastAsia"/>
          <w:sz w:val="24"/>
          <w:szCs w:val="24"/>
        </w:rPr>
        <w:t>参比人</w:t>
      </w:r>
      <w:r>
        <w:rPr>
          <w:rFonts w:hint="eastAsia" w:eastAsiaTheme="minorEastAsia"/>
          <w:snapToGrid w:val="0"/>
          <w:sz w:val="24"/>
          <w:szCs w:val="24"/>
        </w:rPr>
        <w:t>提供近三年的评估业绩，至少包含一个石化行业项目的消防安全评估业绩，（需提供业绩合同复印件加盖公章）；</w:t>
      </w:r>
    </w:p>
    <w:p w14:paraId="0C94D943">
      <w:pPr>
        <w:spacing w:line="440" w:lineRule="exact"/>
        <w:ind w:firstLine="480" w:firstLineChars="200"/>
        <w:rPr>
          <w:sz w:val="24"/>
          <w:szCs w:val="24"/>
          <w:lang w:eastAsia="zh-CN"/>
        </w:rPr>
      </w:pPr>
      <w:r>
        <w:rPr>
          <w:rFonts w:hint="eastAsia"/>
          <w:sz w:val="24"/>
          <w:szCs w:val="24"/>
          <w:lang w:eastAsia="zh-CN"/>
        </w:rPr>
        <w:t>5</w:t>
      </w:r>
      <w:r>
        <w:rPr>
          <w:sz w:val="24"/>
          <w:szCs w:val="24"/>
          <w:lang w:eastAsia="zh-CN"/>
        </w:rPr>
        <w:t>.</w:t>
      </w:r>
      <w:r>
        <w:rPr>
          <w:rFonts w:hint="eastAsia" w:eastAsiaTheme="minorEastAsia"/>
          <w:snapToGrid w:val="0"/>
          <w:sz w:val="24"/>
          <w:szCs w:val="24"/>
          <w:lang w:eastAsia="zh-CN"/>
        </w:rPr>
        <w:t>参比人</w:t>
      </w:r>
      <w:r>
        <w:rPr>
          <w:rFonts w:hint="eastAsia" w:asciiTheme="minorEastAsia" w:hAnsiTheme="minorEastAsia" w:eastAsiaTheme="minorEastAsia"/>
          <w:sz w:val="24"/>
          <w:szCs w:val="24"/>
          <w:lang w:eastAsia="zh-CN"/>
        </w:rPr>
        <w:t>根据评估内容及工作量配备现场评估人员，现场人员数量不少于四人，且持有一级注册消防工程师资格证，并提供相应证书及本单位社保证明；</w:t>
      </w:r>
    </w:p>
    <w:p w14:paraId="23E5D8B8">
      <w:pPr>
        <w:widowControl/>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6</w:t>
      </w:r>
      <w:r>
        <w:rPr>
          <w:rFonts w:asciiTheme="majorEastAsia" w:hAnsiTheme="majorEastAsia" w:eastAsiaTheme="majorEastAsia"/>
          <w:sz w:val="24"/>
          <w:szCs w:val="24"/>
          <w:lang w:eastAsia="zh-CN"/>
        </w:rPr>
        <w:t>.没有失信黑名单记录（以最高院失信被执行人系统发布信息为准）；</w:t>
      </w:r>
    </w:p>
    <w:p w14:paraId="5C1A5CE7">
      <w:pPr>
        <w:pStyle w:val="54"/>
        <w:adjustRightInd/>
        <w:spacing w:line="440" w:lineRule="exact"/>
        <w:ind w:firstLine="480" w:firstLineChars="20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w:t>
      </w:r>
      <w:r>
        <w:rPr>
          <w:rFonts w:asciiTheme="majorEastAsia" w:hAnsiTheme="majorEastAsia" w:eastAsiaTheme="majorEastAsia"/>
          <w:sz w:val="24"/>
          <w:szCs w:val="24"/>
        </w:rPr>
        <w:t>.与</w:t>
      </w:r>
      <w:r>
        <w:rPr>
          <w:rFonts w:hint="eastAsia" w:asciiTheme="majorEastAsia" w:hAnsiTheme="majorEastAsia" w:eastAsiaTheme="majorEastAsia"/>
          <w:sz w:val="24"/>
          <w:szCs w:val="24"/>
        </w:rPr>
        <w:t>询比人</w:t>
      </w:r>
      <w:r>
        <w:rPr>
          <w:rFonts w:asciiTheme="majorEastAsia" w:hAnsiTheme="majorEastAsia" w:eastAsiaTheme="majorEastAsia"/>
          <w:sz w:val="24"/>
          <w:szCs w:val="24"/>
        </w:rPr>
        <w:t>无诉讼纠纷</w:t>
      </w:r>
      <w:r>
        <w:rPr>
          <w:rFonts w:hint="eastAsia" w:asciiTheme="majorEastAsia" w:hAnsiTheme="majorEastAsia" w:eastAsiaTheme="majorEastAsia"/>
          <w:sz w:val="24"/>
          <w:szCs w:val="24"/>
        </w:rPr>
        <w:t>。</w:t>
      </w:r>
    </w:p>
    <w:p w14:paraId="290A8D08">
      <w:pPr>
        <w:spacing w:line="440" w:lineRule="exact"/>
        <w:ind w:firstLine="480" w:firstLineChars="200"/>
        <w:rPr>
          <w:sz w:val="24"/>
          <w:szCs w:val="24"/>
          <w:lang w:eastAsia="zh-CN"/>
        </w:rPr>
      </w:pPr>
      <w:r>
        <w:rPr>
          <w:rFonts w:hint="eastAsia"/>
          <w:sz w:val="24"/>
          <w:szCs w:val="24"/>
          <w:lang w:eastAsia="zh-CN"/>
        </w:rPr>
        <w:t>8</w:t>
      </w:r>
      <w:r>
        <w:rPr>
          <w:sz w:val="24"/>
          <w:szCs w:val="24"/>
          <w:lang w:eastAsia="zh-CN"/>
        </w:rPr>
        <w:t>.</w:t>
      </w:r>
      <w:r>
        <w:rPr>
          <w:rFonts w:hint="eastAsia"/>
          <w:sz w:val="24"/>
          <w:szCs w:val="24"/>
          <w:lang w:eastAsia="zh-CN"/>
        </w:rPr>
        <w:t>本项目不接受联合体参选，不允许分包。</w:t>
      </w:r>
    </w:p>
    <w:p w14:paraId="772C0101">
      <w:pPr>
        <w:pStyle w:val="54"/>
        <w:adjustRightInd/>
        <w:spacing w:line="440" w:lineRule="exact"/>
        <w:ind w:firstLine="480" w:firstLineChars="200"/>
        <w:jc w:val="left"/>
        <w:rPr>
          <w:rFonts w:asciiTheme="minorEastAsia" w:hAnsiTheme="minorEastAsia" w:eastAsiaTheme="minorEastAsia"/>
          <w:sz w:val="24"/>
          <w:szCs w:val="24"/>
          <w:highlight w:val="yellow"/>
        </w:rPr>
      </w:pPr>
      <w:r>
        <w:rPr>
          <w:rFonts w:hint="eastAsia"/>
          <w:sz w:val="24"/>
          <w:szCs w:val="24"/>
        </w:rPr>
        <w:t>9</w:t>
      </w:r>
      <w:r>
        <w:rPr>
          <w:sz w:val="24"/>
          <w:szCs w:val="24"/>
        </w:rPr>
        <w:t>.</w:t>
      </w:r>
      <w:r>
        <w:rPr>
          <w:rFonts w:hint="eastAsia" w:asciiTheme="minorEastAsia" w:hAnsiTheme="minorEastAsia" w:eastAsiaTheme="minorEastAsia"/>
          <w:sz w:val="24"/>
          <w:szCs w:val="24"/>
        </w:rPr>
        <w:t>参照《单位消防安全评估》XF/T3005-2020相关规定，本项目涉及单位消防设施检测及维护保养资料的核查及评估，作为本年度消防设施维保及检测消防技术服务机构属于被评估对像，不得参加本次消防评估询比。</w:t>
      </w:r>
    </w:p>
    <w:p w14:paraId="67B252EF">
      <w:pPr>
        <w:pStyle w:val="70"/>
        <w:autoSpaceDE/>
        <w:autoSpaceDN/>
        <w:spacing w:before="0" w:line="440" w:lineRule="exact"/>
        <w:ind w:left="0" w:firstLine="378" w:firstLineChars="147"/>
        <w:rPr>
          <w:rFonts w:asciiTheme="majorEastAsia" w:hAnsiTheme="majorEastAsia" w:eastAsiaTheme="majorEastAsia"/>
          <w:b/>
          <w:bCs/>
          <w:sz w:val="24"/>
          <w:szCs w:val="24"/>
          <w:lang w:eastAsia="zh-CN"/>
        </w:rPr>
      </w:pPr>
      <w:r>
        <w:rPr>
          <w:rFonts w:hint="eastAsia"/>
          <w:b/>
          <w:snapToGrid w:val="0"/>
          <w:color w:val="000000" w:themeColor="text1"/>
          <w:spacing w:val="8"/>
          <w:sz w:val="24"/>
          <w:szCs w:val="24"/>
          <w:lang w:eastAsia="zh-CN"/>
          <w14:textFill>
            <w14:solidFill>
              <w14:schemeClr w14:val="tx1"/>
            </w14:solidFill>
          </w14:textFill>
        </w:rPr>
        <w:t>三、</w:t>
      </w:r>
      <w:r>
        <w:rPr>
          <w:rFonts w:hint="eastAsia" w:asciiTheme="majorEastAsia" w:hAnsiTheme="majorEastAsia" w:eastAsiaTheme="majorEastAsia"/>
          <w:b/>
          <w:bCs/>
          <w:sz w:val="24"/>
          <w:szCs w:val="24"/>
          <w:lang w:eastAsia="zh-CN"/>
        </w:rPr>
        <w:t>报名要求及询比文件获取</w:t>
      </w:r>
    </w:p>
    <w:p w14:paraId="7D94F56B">
      <w:pPr>
        <w:autoSpaceDE/>
        <w:spacing w:line="440" w:lineRule="exact"/>
        <w:ind w:firstLine="480" w:firstLineChars="200"/>
        <w:rPr>
          <w:rFonts w:hint="default" w:asciiTheme="majorEastAsia" w:hAnsiTheme="majorEastAsia" w:eastAsiaTheme="majorEastAsia"/>
          <w:bCs/>
          <w:sz w:val="24"/>
          <w:szCs w:val="24"/>
          <w:lang w:val="en-US" w:eastAsia="zh-CN"/>
        </w:rPr>
      </w:pPr>
      <w:r>
        <w:rPr>
          <w:rFonts w:hint="eastAsia" w:asciiTheme="majorEastAsia" w:hAnsiTheme="majorEastAsia" w:eastAsiaTheme="majorEastAsia"/>
          <w:bCs/>
          <w:sz w:val="24"/>
          <w:szCs w:val="24"/>
          <w:lang w:eastAsia="zh-CN"/>
        </w:rPr>
        <w:t>1. 报名时间：公告发起之日至</w:t>
      </w:r>
      <w:r>
        <w:rPr>
          <w:rFonts w:hint="eastAsia" w:asciiTheme="majorEastAsia" w:hAnsiTheme="majorEastAsia" w:eastAsiaTheme="majorEastAsia"/>
          <w:sz w:val="24"/>
          <w:szCs w:val="24"/>
          <w:lang w:eastAsia="zh-CN"/>
        </w:rPr>
        <w:t>2026年</w:t>
      </w:r>
      <w:r>
        <w:rPr>
          <w:rFonts w:hint="eastAsia" w:asciiTheme="majorEastAsia" w:hAnsiTheme="majorEastAsia" w:eastAsiaTheme="majorEastAsia"/>
          <w:sz w:val="24"/>
          <w:szCs w:val="24"/>
          <w:lang w:val="en-US" w:eastAsia="zh-CN"/>
        </w:rPr>
        <w:t>11</w:t>
      </w:r>
      <w:r>
        <w:rPr>
          <w:rFonts w:hint="eastAsia" w:asciiTheme="majorEastAsia" w:hAnsiTheme="majorEastAsia" w:eastAsiaTheme="majorEastAsia"/>
          <w:sz w:val="24"/>
          <w:szCs w:val="24"/>
          <w:lang w:eastAsia="zh-CN"/>
        </w:rPr>
        <w:t>月</w:t>
      </w:r>
      <w:r>
        <w:rPr>
          <w:rFonts w:hint="eastAsia" w:asciiTheme="majorEastAsia" w:hAnsiTheme="majorEastAsia" w:eastAsiaTheme="majorEastAsia"/>
          <w:sz w:val="24"/>
          <w:szCs w:val="24"/>
          <w:lang w:val="en-US" w:eastAsia="zh-CN"/>
        </w:rPr>
        <w:t>14</w:t>
      </w:r>
      <w:r>
        <w:rPr>
          <w:rFonts w:hint="eastAsia" w:asciiTheme="majorEastAsia" w:hAnsiTheme="majorEastAsia" w:eastAsiaTheme="majorEastAsia"/>
          <w:sz w:val="24"/>
          <w:szCs w:val="24"/>
          <w:lang w:eastAsia="zh-CN"/>
        </w:rPr>
        <w:t>日</w:t>
      </w:r>
      <w:r>
        <w:rPr>
          <w:rFonts w:hint="eastAsia" w:asciiTheme="majorEastAsia" w:hAnsiTheme="majorEastAsia" w:eastAsiaTheme="majorEastAsia"/>
          <w:sz w:val="24"/>
          <w:szCs w:val="24"/>
          <w:lang w:val="en-US" w:eastAsia="zh-CN"/>
        </w:rPr>
        <w:t>止。</w:t>
      </w:r>
    </w:p>
    <w:p w14:paraId="1506C23A">
      <w:pPr>
        <w:autoSpaceDE/>
        <w:spacing w:line="440" w:lineRule="exact"/>
        <w:ind w:left="220" w:leftChars="100" w:firstLine="240" w:firstLineChars="100"/>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2. 报名方式：邮件报名（须同时提交盖公章的法定代表人授权书及营业执照扫描件，见文本格式），邮件发至：</w:t>
      </w:r>
      <w:r>
        <w:fldChar w:fldCharType="begin"/>
      </w:r>
      <w:r>
        <w:instrText xml:space="preserve"> HYPERLINK "mailto:hzji@fhcpec.com.cn" </w:instrText>
      </w:r>
      <w:r>
        <w:fldChar w:fldCharType="separate"/>
      </w:r>
      <w:r>
        <w:rPr>
          <w:rStyle w:val="52"/>
          <w:rFonts w:hint="eastAsia" w:asciiTheme="majorEastAsia" w:hAnsiTheme="majorEastAsia" w:eastAsiaTheme="majorEastAsia"/>
          <w:sz w:val="24"/>
          <w:szCs w:val="24"/>
          <w:lang w:eastAsia="zh-CN"/>
        </w:rPr>
        <w:t>huangmq@fujianep.com</w:t>
      </w:r>
      <w:r>
        <w:rPr>
          <w:rStyle w:val="52"/>
          <w:rFonts w:hint="eastAsia" w:asciiTheme="majorEastAsia" w:hAnsiTheme="majorEastAsia" w:eastAsiaTheme="majorEastAsia"/>
          <w:sz w:val="24"/>
          <w:szCs w:val="24"/>
          <w:lang w:eastAsia="zh-CN"/>
        </w:rPr>
        <w:fldChar w:fldCharType="end"/>
      </w:r>
      <w:r>
        <w:rPr>
          <w:rFonts w:hint="eastAsia" w:asciiTheme="majorEastAsia" w:hAnsiTheme="majorEastAsia" w:eastAsiaTheme="majorEastAsia"/>
          <w:bCs/>
          <w:sz w:val="24"/>
          <w:szCs w:val="24"/>
          <w:lang w:eastAsia="zh-CN"/>
        </w:rPr>
        <w:t>。未报名的参比人不能参加本项目询</w:t>
      </w:r>
      <w:bookmarkStart w:id="21" w:name="_GoBack"/>
      <w:bookmarkEnd w:id="21"/>
      <w:r>
        <w:rPr>
          <w:rFonts w:hint="eastAsia" w:asciiTheme="majorEastAsia" w:hAnsiTheme="majorEastAsia" w:eastAsiaTheme="majorEastAsia"/>
          <w:bCs/>
          <w:sz w:val="24"/>
          <w:szCs w:val="24"/>
          <w:lang w:eastAsia="zh-CN"/>
        </w:rPr>
        <w:t>比。</w:t>
      </w:r>
    </w:p>
    <w:p w14:paraId="0BDB5549">
      <w:pPr>
        <w:pStyle w:val="54"/>
        <w:spacing w:line="440" w:lineRule="exact"/>
        <w:rPr>
          <w:i/>
          <w:iCs/>
          <w:sz w:val="24"/>
          <w:szCs w:val="24"/>
          <w:highlight w:val="yellow"/>
        </w:rPr>
      </w:pPr>
      <w:r>
        <w:rPr>
          <w:rFonts w:hint="eastAsia"/>
          <w:sz w:val="24"/>
          <w:szCs w:val="24"/>
        </w:rPr>
        <w:t xml:space="preserve"> </w:t>
      </w:r>
      <w:r>
        <w:rPr>
          <w:sz w:val="24"/>
          <w:szCs w:val="24"/>
        </w:rPr>
        <w:t xml:space="preserve">  </w:t>
      </w:r>
      <w:r>
        <w:rPr>
          <w:i/>
          <w:iCs/>
          <w:sz w:val="24"/>
          <w:szCs w:val="24"/>
          <w:highlight w:val="yellow"/>
        </w:rPr>
        <w:t xml:space="preserve"> 说明：报名并缴纳参选保证金后，询比人将提供相关资料</w:t>
      </w:r>
      <w:r>
        <w:rPr>
          <w:rFonts w:hint="eastAsia"/>
          <w:i/>
          <w:iCs/>
          <w:sz w:val="24"/>
          <w:szCs w:val="24"/>
          <w:highlight w:val="yellow"/>
        </w:rPr>
        <w:t>。</w:t>
      </w:r>
    </w:p>
    <w:p w14:paraId="50FB1A32">
      <w:pPr>
        <w:autoSpaceDE/>
        <w:spacing w:line="440" w:lineRule="exact"/>
        <w:ind w:left="220" w:leftChars="100" w:firstLine="240" w:firstLineChars="100"/>
        <w:rPr>
          <w:rFonts w:asciiTheme="majorEastAsia" w:hAnsiTheme="majorEastAsia" w:eastAsiaTheme="majorEastAsia"/>
          <w:bCs/>
          <w:sz w:val="24"/>
          <w:szCs w:val="24"/>
          <w:lang w:eastAsia="zh-CN"/>
        </w:rPr>
      </w:pPr>
      <w:r>
        <w:rPr>
          <w:rFonts w:hint="eastAsia"/>
          <w:sz w:val="24"/>
          <w:szCs w:val="24"/>
          <w:lang w:eastAsia="zh-CN"/>
        </w:rPr>
        <w:t>3.</w:t>
      </w:r>
      <w:r>
        <w:rPr>
          <w:rFonts w:hint="eastAsia" w:asciiTheme="majorEastAsia" w:hAnsiTheme="majorEastAsia" w:eastAsiaTheme="majorEastAsia"/>
          <w:sz w:val="24"/>
          <w:szCs w:val="24"/>
          <w:shd w:val="clear" w:color="auto" w:fill="FFFFFF"/>
          <w:lang w:eastAsia="zh-CN"/>
        </w:rPr>
        <w:t>凡有意向参加的参比人，请务必在 http://nhygcg.fjshgx.com/ （福建能化阳光采购平台）上免费注册，并</w:t>
      </w:r>
      <w:r>
        <w:rPr>
          <w:rFonts w:hint="eastAsia" w:asciiTheme="majorEastAsia" w:hAnsiTheme="majorEastAsia" w:eastAsiaTheme="majorEastAsia"/>
          <w:bCs/>
          <w:sz w:val="24"/>
          <w:szCs w:val="24"/>
          <w:lang w:eastAsia="zh-CN"/>
        </w:rPr>
        <w:t>下载询比文件（福建能源石化集团阳光采购平台或福建福海创石油化工有限公司官网均可），</w:t>
      </w:r>
      <w:r>
        <w:rPr>
          <w:rFonts w:hint="eastAsia" w:asciiTheme="majorEastAsia" w:hAnsiTheme="majorEastAsia" w:eastAsiaTheme="majorEastAsia"/>
          <w:sz w:val="24"/>
          <w:szCs w:val="24"/>
          <w:shd w:val="clear" w:color="auto" w:fill="FFFFFF"/>
          <w:lang w:eastAsia="zh-CN"/>
        </w:rPr>
        <w:t>不收取文件下载费用。</w:t>
      </w:r>
    </w:p>
    <w:p w14:paraId="4745683B">
      <w:pPr>
        <w:autoSpaceDE/>
        <w:autoSpaceDN/>
        <w:spacing w:line="440" w:lineRule="exact"/>
        <w:ind w:firstLine="482" w:firstLineChars="200"/>
        <w:rPr>
          <w:rFonts w:asciiTheme="majorEastAsia" w:hAnsiTheme="majorEastAsia" w:eastAsiaTheme="majorEastAsia"/>
          <w:b/>
          <w:bCs/>
          <w:sz w:val="24"/>
          <w:szCs w:val="24"/>
          <w:lang w:eastAsia="zh-CN"/>
        </w:rPr>
      </w:pPr>
      <w:r>
        <w:rPr>
          <w:rFonts w:hint="eastAsia" w:asciiTheme="majorEastAsia" w:hAnsiTheme="majorEastAsia" w:eastAsiaTheme="majorEastAsia"/>
          <w:b/>
          <w:bCs/>
          <w:sz w:val="24"/>
          <w:szCs w:val="24"/>
          <w:lang w:eastAsia="zh-CN"/>
        </w:rPr>
        <w:t>四、参选文件递交要求</w:t>
      </w:r>
    </w:p>
    <w:p w14:paraId="6333C7B9">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1. 参选文件递交地点：福建省漳州市古雷开发区纵四路西侧福化古雷运营中心17楼 福海创综合采购团队，黄梅钦13806001925</w:t>
      </w:r>
    </w:p>
    <w:p w14:paraId="045B7772">
      <w:pPr>
        <w:autoSpaceDE/>
        <w:autoSpaceDN/>
        <w:spacing w:line="440" w:lineRule="exact"/>
        <w:ind w:firstLine="480" w:firstLineChars="200"/>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2. 递交截止时间：报名截止时间延后2日</w:t>
      </w:r>
    </w:p>
    <w:p w14:paraId="7B55A669">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五、发布公告的媒介：http://nhygcg.fjshgx.com/(福建能化阳光采购平台)和http://www.fhcpec.com.cn/ （</w:t>
      </w:r>
      <w:r>
        <w:fldChar w:fldCharType="begin"/>
      </w:r>
      <w:r>
        <w:instrText xml:space="preserve"> HYPERLINK "http://www.fhcpec.com.cn/" </w:instrText>
      </w:r>
      <w:r>
        <w:fldChar w:fldCharType="separate"/>
      </w:r>
      <w:r>
        <w:rPr>
          <w:rFonts w:hint="eastAsia" w:asciiTheme="majorEastAsia" w:hAnsiTheme="majorEastAsia" w:eastAsiaTheme="majorEastAsia"/>
          <w:sz w:val="24"/>
          <w:szCs w:val="24"/>
          <w:lang w:eastAsia="zh-CN"/>
        </w:rPr>
        <w:t>福建福海创石油化工有限公司</w:t>
      </w:r>
      <w:r>
        <w:rPr>
          <w:rFonts w:hint="eastAsia" w:asciiTheme="majorEastAsia" w:hAnsiTheme="majorEastAsia" w:eastAsiaTheme="majorEastAsia"/>
          <w:sz w:val="24"/>
          <w:szCs w:val="24"/>
          <w:lang w:eastAsia="zh-CN"/>
        </w:rPr>
        <w:fldChar w:fldCharType="end"/>
      </w:r>
      <w:r>
        <w:rPr>
          <w:rFonts w:hint="eastAsia" w:asciiTheme="majorEastAsia" w:hAnsiTheme="majorEastAsia" w:eastAsiaTheme="majorEastAsia"/>
          <w:sz w:val="24"/>
          <w:szCs w:val="24"/>
          <w:lang w:eastAsia="zh-CN"/>
        </w:rPr>
        <w:t>官网）。</w:t>
      </w:r>
    </w:p>
    <w:p w14:paraId="6F3FE630">
      <w:pPr>
        <w:tabs>
          <w:tab w:val="left" w:pos="709"/>
        </w:tabs>
        <w:spacing w:line="360" w:lineRule="auto"/>
        <w:ind w:firstLine="482" w:firstLineChars="200"/>
        <w:rPr>
          <w:rFonts w:asciiTheme="majorEastAsia" w:hAnsiTheme="majorEastAsia" w:eastAsiaTheme="majorEastAsia"/>
          <w:b/>
          <w:bCs/>
          <w:sz w:val="24"/>
          <w:szCs w:val="24"/>
          <w:lang w:eastAsia="zh-CN"/>
        </w:rPr>
      </w:pPr>
      <w:r>
        <w:rPr>
          <w:rFonts w:hint="eastAsia" w:asciiTheme="majorEastAsia" w:hAnsiTheme="majorEastAsia" w:eastAsiaTheme="majorEastAsia"/>
          <w:b/>
          <w:bCs/>
          <w:sz w:val="24"/>
          <w:szCs w:val="24"/>
          <w:lang w:eastAsia="zh-CN"/>
        </w:rPr>
        <w:t>六、本项目参比保证金：人民币3600元</w:t>
      </w:r>
    </w:p>
    <w:p w14:paraId="24091AF0">
      <w:pPr>
        <w:autoSpaceDE/>
        <w:autoSpaceDN/>
        <w:spacing w:line="440" w:lineRule="exact"/>
        <w:ind w:left="876" w:leftChars="218" w:hanging="396" w:hangingChars="165"/>
        <w:rPr>
          <w:rFonts w:hint="eastAsia"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七、本项目采用综合评分法，经技术评审和商务评审后选择综合总分最高者作为中选单位，技术部分:商务部分:报价部分的占比2:1:7。</w:t>
      </w:r>
    </w:p>
    <w:p w14:paraId="50B2AC8F">
      <w:pPr>
        <w:autoSpaceDE/>
        <w:autoSpaceDN/>
        <w:spacing w:line="440" w:lineRule="exact"/>
        <w:ind w:left="876" w:leftChars="218" w:hanging="396" w:hangingChars="165"/>
        <w:rPr>
          <w:rFonts w:hint="default" w:asciiTheme="majorEastAsia" w:hAnsiTheme="majorEastAsia" w:eastAsiaTheme="majorEastAsia"/>
          <w:bCs/>
          <w:sz w:val="24"/>
          <w:szCs w:val="24"/>
          <w:lang w:val="en-US" w:eastAsia="zh-CN"/>
        </w:rPr>
      </w:pPr>
      <w:r>
        <w:rPr>
          <w:rFonts w:hint="eastAsia" w:asciiTheme="majorEastAsia" w:hAnsiTheme="majorEastAsia" w:eastAsiaTheme="majorEastAsia"/>
          <w:bCs/>
          <w:sz w:val="24"/>
          <w:szCs w:val="24"/>
          <w:lang w:val="en-US" w:eastAsia="zh-CN"/>
        </w:rPr>
        <w:t>八、本项目付款方式：完成消防安全评估并在消防安全评估报告上传福建省消防总队平台后20个工作日内，甲方支付合同款100%  。</w:t>
      </w:r>
    </w:p>
    <w:p w14:paraId="67C1186B">
      <w:pPr>
        <w:spacing w:line="336" w:lineRule="auto"/>
        <w:ind w:firstLine="440" w:firstLineChars="200"/>
        <w:rPr>
          <w:szCs w:val="21"/>
          <w:lang w:eastAsia="zh-CN"/>
        </w:rPr>
      </w:pPr>
      <w:r>
        <w:rPr>
          <w:rFonts w:hint="eastAsia"/>
          <w:color w:val="000000" w:themeColor="text1"/>
          <w:szCs w:val="21"/>
          <w:lang w:val="en-US" w:eastAsia="zh-CN"/>
          <w14:textFill>
            <w14:solidFill>
              <w14:schemeClr w14:val="tx1"/>
            </w14:solidFill>
          </w14:textFill>
        </w:rPr>
        <w:t>九</w:t>
      </w:r>
      <w:r>
        <w:rPr>
          <w:rFonts w:hint="eastAsia"/>
          <w:color w:val="000000" w:themeColor="text1"/>
          <w:szCs w:val="21"/>
          <w:lang w:eastAsia="zh-CN"/>
          <w14:textFill>
            <w14:solidFill>
              <w14:schemeClr w14:val="tx1"/>
            </w14:solidFill>
          </w14:textFill>
        </w:rPr>
        <w:t>、</w:t>
      </w:r>
      <w:r>
        <w:rPr>
          <w:rFonts w:hint="eastAsia"/>
          <w:b/>
          <w:bCs/>
          <w:snapToGrid w:val="0"/>
          <w:spacing w:val="8"/>
          <w:szCs w:val="21"/>
          <w:lang w:eastAsia="zh-CN"/>
        </w:rPr>
        <w:t>联系方式</w:t>
      </w:r>
      <w:r>
        <w:rPr>
          <w:rFonts w:hint="eastAsia"/>
          <w:szCs w:val="21"/>
          <w:lang w:eastAsia="zh-CN"/>
        </w:rPr>
        <w:t xml:space="preserve"> </w:t>
      </w:r>
    </w:p>
    <w:p w14:paraId="33254C9B">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商务联系人：黄梅钦 电话：13806001925 邮箱：huangmq@fujianep.com</w:t>
      </w:r>
    </w:p>
    <w:p w14:paraId="67B444D8">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现场技术联系人：</w:t>
      </w:r>
      <w:r>
        <w:rPr>
          <w:rFonts w:hint="eastAsia" w:asciiTheme="majorEastAsia" w:hAnsiTheme="majorEastAsia" w:eastAsiaTheme="majorEastAsia"/>
          <w:sz w:val="24"/>
          <w:szCs w:val="24"/>
          <w:lang w:eastAsia="zh-CN"/>
        </w:rPr>
        <w:t>邵云中</w:t>
      </w:r>
      <w:r>
        <w:rPr>
          <w:rFonts w:hint="eastAsia" w:asciiTheme="majorEastAsia" w:hAnsiTheme="majorEastAsia" w:eastAsiaTheme="majorEastAsia"/>
          <w:bCs/>
          <w:sz w:val="24"/>
          <w:szCs w:val="24"/>
          <w:lang w:eastAsia="zh-CN"/>
        </w:rPr>
        <w:t xml:space="preserve">  电话：</w:t>
      </w:r>
      <w:r>
        <w:rPr>
          <w:rFonts w:hint="eastAsia" w:asciiTheme="majorEastAsia" w:hAnsiTheme="majorEastAsia" w:eastAsiaTheme="majorEastAsia"/>
          <w:sz w:val="24"/>
          <w:szCs w:val="24"/>
          <w:lang w:eastAsia="zh-CN"/>
        </w:rPr>
        <w:t>1</w:t>
      </w:r>
      <w:r>
        <w:rPr>
          <w:rFonts w:asciiTheme="majorEastAsia" w:hAnsiTheme="majorEastAsia" w:eastAsiaTheme="majorEastAsia"/>
          <w:sz w:val="24"/>
          <w:szCs w:val="24"/>
          <w:lang w:eastAsia="zh-CN"/>
        </w:rPr>
        <w:t>9959614087</w:t>
      </w:r>
      <w:r>
        <w:rPr>
          <w:rFonts w:asciiTheme="majorEastAsia" w:hAnsiTheme="majorEastAsia" w:eastAsiaTheme="majorEastAsia"/>
          <w:bCs/>
          <w:sz w:val="24"/>
          <w:szCs w:val="24"/>
          <w:lang w:eastAsia="zh-CN"/>
        </w:rPr>
        <w:t>  </w:t>
      </w:r>
    </w:p>
    <w:p w14:paraId="34FC5058">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 xml:space="preserve">纪检监察室电话：0596-6311774  </w:t>
      </w:r>
    </w:p>
    <w:p w14:paraId="3803ECB7">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联系地址：福建省漳州市古雷开发区纵四路西侧福化古雷运营中心17楼。</w:t>
      </w:r>
    </w:p>
    <w:p w14:paraId="3C404C9D">
      <w:pPr>
        <w:autoSpaceDE/>
        <w:autoSpaceDN/>
        <w:spacing w:line="440" w:lineRule="exact"/>
        <w:ind w:left="876" w:leftChars="218" w:hanging="396" w:hangingChars="165"/>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邮  编：363216</w:t>
      </w:r>
    </w:p>
    <w:p w14:paraId="213DEA45">
      <w:pPr>
        <w:pStyle w:val="4"/>
        <w:shd w:val="clear" w:color="auto" w:fill="FFFFFF"/>
        <w:spacing w:before="0" w:after="0" w:line="440" w:lineRule="exact"/>
        <w:ind w:firstLine="480" w:firstLineChars="200"/>
        <w:jc w:val="left"/>
        <w:rPr>
          <w:rFonts w:cs="宋体" w:asciiTheme="majorEastAsia" w:hAnsiTheme="majorEastAsia" w:eastAsiaTheme="majorEastAsia"/>
          <w:bCs w:val="0"/>
          <w:sz w:val="24"/>
          <w:szCs w:val="24"/>
        </w:rPr>
      </w:pPr>
      <w:r>
        <w:rPr>
          <w:rFonts w:hint="eastAsia" w:cs="宋体" w:asciiTheme="majorEastAsia" w:hAnsiTheme="majorEastAsia" w:eastAsiaTheme="majorEastAsia"/>
          <w:b w:val="0"/>
          <w:sz w:val="24"/>
          <w:szCs w:val="24"/>
          <w:lang w:val="en-US" w:eastAsia="zh-CN"/>
        </w:rPr>
        <w:t>十</w:t>
      </w:r>
      <w:r>
        <w:rPr>
          <w:rFonts w:hint="eastAsia" w:cs="宋体" w:asciiTheme="majorEastAsia" w:hAnsiTheme="majorEastAsia" w:eastAsiaTheme="majorEastAsia"/>
          <w:b w:val="0"/>
          <w:sz w:val="24"/>
          <w:szCs w:val="24"/>
        </w:rPr>
        <w:t>、</w:t>
      </w:r>
      <w:r>
        <w:rPr>
          <w:rFonts w:hint="eastAsia" w:asciiTheme="majorEastAsia" w:hAnsiTheme="majorEastAsia" w:eastAsiaTheme="majorEastAsia"/>
          <w:sz w:val="24"/>
          <w:szCs w:val="24"/>
        </w:rPr>
        <w:t>注意事项</w:t>
      </w:r>
    </w:p>
    <w:p w14:paraId="30864ADD">
      <w:pPr>
        <w:pStyle w:val="9"/>
        <w:adjustRightInd/>
        <w:spacing w:line="440" w:lineRule="exact"/>
        <w:ind w:firstLine="480" w:firstLineChars="200"/>
        <w:rPr>
          <w:rFonts w:asciiTheme="majorEastAsia" w:hAnsiTheme="majorEastAsia" w:eastAsiaTheme="majorEastAsia"/>
        </w:rPr>
      </w:pPr>
      <w:r>
        <w:rPr>
          <w:rFonts w:hint="eastAsia" w:asciiTheme="majorEastAsia" w:hAnsiTheme="majorEastAsia" w:eastAsiaTheme="majorEastAsia"/>
        </w:rPr>
        <w:t>1．响应人须登录 “ 福建能化阳光采购平台”（http://nhygcg.fjshgx.com/） ，免费注册成为会员后，方可参与采购。</w:t>
      </w:r>
    </w:p>
    <w:p w14:paraId="20B5D3AE">
      <w:pPr>
        <w:tabs>
          <w:tab w:val="left" w:pos="709"/>
        </w:tabs>
        <w:spacing w:line="360" w:lineRule="auto"/>
        <w:ind w:left="440" w:leftChars="200" w:firstLine="77" w:firstLineChars="35"/>
        <w:rPr>
          <w:szCs w:val="21"/>
          <w:lang w:eastAsia="zh-CN"/>
        </w:rPr>
      </w:pPr>
    </w:p>
    <w:p w14:paraId="6D32D52D">
      <w:pPr>
        <w:spacing w:line="360" w:lineRule="auto"/>
        <w:rPr>
          <w:szCs w:val="21"/>
          <w:lang w:eastAsia="zh-CN"/>
        </w:rPr>
      </w:pPr>
    </w:p>
    <w:p w14:paraId="52F9345A">
      <w:pPr>
        <w:spacing w:line="360" w:lineRule="auto"/>
        <w:ind w:firstLine="440" w:firstLineChars="200"/>
        <w:rPr>
          <w:rFonts w:cs="Times New Roman" w:asciiTheme="majorEastAsia" w:hAnsiTheme="majorEastAsia" w:eastAsiaTheme="majorEastAsia"/>
          <w:sz w:val="24"/>
          <w:szCs w:val="20"/>
          <w:lang w:eastAsia="zh-CN"/>
        </w:rPr>
      </w:pPr>
      <w:r>
        <w:rPr>
          <w:rFonts w:hint="eastAsia"/>
          <w:szCs w:val="21"/>
          <w:lang w:eastAsia="zh-CN"/>
        </w:rPr>
        <w:t xml:space="preserve">                                          </w:t>
      </w:r>
      <w:r>
        <w:rPr>
          <w:rFonts w:hint="eastAsia" w:cs="Times New Roman" w:asciiTheme="majorEastAsia" w:hAnsiTheme="majorEastAsia" w:eastAsiaTheme="majorEastAsia"/>
          <w:sz w:val="24"/>
          <w:szCs w:val="20"/>
          <w:lang w:eastAsia="zh-CN"/>
        </w:rPr>
        <w:t xml:space="preserve">   福建福海创石油化工有限公司 </w:t>
      </w:r>
    </w:p>
    <w:p w14:paraId="5DFEC893">
      <w:pPr>
        <w:spacing w:line="360" w:lineRule="auto"/>
        <w:ind w:firstLine="480" w:firstLineChars="200"/>
        <w:rPr>
          <w:rFonts w:cs="Times New Roman" w:asciiTheme="majorEastAsia" w:hAnsiTheme="majorEastAsia" w:eastAsiaTheme="majorEastAsia"/>
          <w:sz w:val="24"/>
          <w:szCs w:val="20"/>
          <w:lang w:eastAsia="zh-CN"/>
        </w:rPr>
      </w:pPr>
      <w:r>
        <w:rPr>
          <w:rFonts w:hint="eastAsia" w:cs="Times New Roman" w:asciiTheme="majorEastAsia" w:hAnsiTheme="majorEastAsia" w:eastAsiaTheme="majorEastAsia"/>
          <w:sz w:val="24"/>
          <w:szCs w:val="20"/>
          <w:lang w:eastAsia="zh-CN"/>
        </w:rPr>
        <w:t xml:space="preserve">                                                  2026年11月0</w:t>
      </w:r>
      <w:r>
        <w:rPr>
          <w:rFonts w:hint="eastAsia" w:cs="Times New Roman" w:asciiTheme="majorEastAsia" w:hAnsiTheme="majorEastAsia" w:eastAsiaTheme="majorEastAsia"/>
          <w:sz w:val="24"/>
          <w:szCs w:val="20"/>
          <w:lang w:val="en-US" w:eastAsia="zh-CN"/>
        </w:rPr>
        <w:t>5</w:t>
      </w:r>
      <w:r>
        <w:rPr>
          <w:rFonts w:hint="eastAsia" w:cs="Times New Roman" w:asciiTheme="majorEastAsia" w:hAnsiTheme="majorEastAsia" w:eastAsiaTheme="majorEastAsia"/>
          <w:sz w:val="24"/>
          <w:szCs w:val="20"/>
          <w:lang w:eastAsia="zh-CN"/>
        </w:rPr>
        <w:t>日</w:t>
      </w:r>
    </w:p>
    <w:p w14:paraId="123DED7D">
      <w:pPr>
        <w:pStyle w:val="9"/>
        <w:adjustRightInd/>
        <w:spacing w:line="360" w:lineRule="auto"/>
        <w:ind w:firstLine="480" w:firstLineChars="200"/>
        <w:jc w:val="center"/>
      </w:pPr>
    </w:p>
    <w:p w14:paraId="6F5BCA5B">
      <w:pPr>
        <w:pStyle w:val="9"/>
        <w:adjustRightInd/>
        <w:spacing w:line="360" w:lineRule="auto"/>
        <w:ind w:firstLine="562" w:firstLineChars="200"/>
        <w:jc w:val="center"/>
        <w:rPr>
          <w:b/>
          <w:sz w:val="28"/>
          <w:szCs w:val="28"/>
        </w:rPr>
      </w:pPr>
    </w:p>
    <w:p w14:paraId="57AABD53">
      <w:pPr>
        <w:pStyle w:val="9"/>
        <w:adjustRightInd/>
        <w:spacing w:line="360" w:lineRule="auto"/>
        <w:ind w:firstLine="562" w:firstLineChars="200"/>
        <w:jc w:val="center"/>
        <w:rPr>
          <w:b/>
          <w:sz w:val="28"/>
          <w:szCs w:val="28"/>
        </w:rPr>
      </w:pPr>
      <w:r>
        <w:rPr>
          <w:b/>
          <w:sz w:val="28"/>
          <w:szCs w:val="28"/>
        </w:rPr>
        <w:t>第二章</w:t>
      </w:r>
      <w:r>
        <w:rPr>
          <w:b/>
          <w:sz w:val="28"/>
          <w:szCs w:val="28"/>
        </w:rPr>
        <w:tab/>
      </w:r>
      <w:r>
        <w:rPr>
          <w:b/>
          <w:spacing w:val="-1"/>
          <w:w w:val="95"/>
          <w:sz w:val="28"/>
          <w:szCs w:val="28"/>
        </w:rPr>
        <w:t>询比须</w:t>
      </w:r>
      <w:r>
        <w:rPr>
          <w:b/>
          <w:w w:val="95"/>
          <w:sz w:val="28"/>
          <w:szCs w:val="28"/>
        </w:rPr>
        <w:t>知</w:t>
      </w:r>
    </w:p>
    <w:p w14:paraId="7FAC4F80">
      <w:pPr>
        <w:spacing w:line="440" w:lineRule="exact"/>
        <w:rPr>
          <w:rFonts w:asciiTheme="majorEastAsia" w:hAnsiTheme="majorEastAsia" w:eastAsiaTheme="majorEastAsia"/>
          <w:b/>
          <w:sz w:val="24"/>
          <w:szCs w:val="24"/>
          <w:lang w:eastAsia="zh-CN"/>
        </w:rPr>
      </w:pPr>
      <w:r>
        <w:rPr>
          <w:rFonts w:asciiTheme="majorEastAsia" w:hAnsiTheme="majorEastAsia" w:eastAsiaTheme="majorEastAsia"/>
          <w:b/>
          <w:w w:val="95"/>
          <w:sz w:val="24"/>
          <w:szCs w:val="24"/>
          <w:lang w:eastAsia="zh-CN"/>
        </w:rPr>
        <w:t>一、询比内容</w:t>
      </w:r>
    </w:p>
    <w:p w14:paraId="6463197D">
      <w:pPr>
        <w:autoSpaceDE/>
        <w:autoSpaceDN/>
        <w:spacing w:line="440" w:lineRule="exact"/>
        <w:ind w:firstLine="480" w:firstLineChars="200"/>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(一)</w:t>
      </w:r>
      <w:r>
        <w:rPr>
          <w:rFonts w:hint="eastAsia" w:asciiTheme="majorEastAsia" w:hAnsiTheme="majorEastAsia" w:eastAsiaTheme="majorEastAsia"/>
          <w:sz w:val="24"/>
          <w:szCs w:val="24"/>
          <w:lang w:eastAsia="zh-CN"/>
        </w:rPr>
        <w:t>项目</w:t>
      </w:r>
      <w:r>
        <w:rPr>
          <w:rFonts w:asciiTheme="majorEastAsia" w:hAnsiTheme="majorEastAsia" w:eastAsiaTheme="majorEastAsia"/>
          <w:sz w:val="24"/>
          <w:szCs w:val="24"/>
          <w:lang w:eastAsia="zh-CN"/>
        </w:rPr>
        <w:t>名称：</w:t>
      </w:r>
      <w:r>
        <w:rPr>
          <w:rFonts w:hint="eastAsia" w:asciiTheme="majorEastAsia" w:hAnsiTheme="majorEastAsia" w:eastAsiaTheme="majorEastAsia"/>
          <w:sz w:val="24"/>
          <w:szCs w:val="24"/>
          <w:u w:val="single"/>
          <w:lang w:eastAsia="zh-CN"/>
        </w:rPr>
        <w:t>2</w:t>
      </w:r>
      <w:r>
        <w:rPr>
          <w:rFonts w:asciiTheme="majorEastAsia" w:hAnsiTheme="majorEastAsia" w:eastAsiaTheme="majorEastAsia"/>
          <w:sz w:val="24"/>
          <w:szCs w:val="24"/>
          <w:u w:val="single"/>
          <w:lang w:eastAsia="zh-CN"/>
        </w:rPr>
        <w:t>02</w:t>
      </w:r>
      <w:r>
        <w:rPr>
          <w:rFonts w:hint="eastAsia" w:asciiTheme="majorEastAsia" w:hAnsiTheme="majorEastAsia" w:eastAsiaTheme="majorEastAsia"/>
          <w:sz w:val="24"/>
          <w:szCs w:val="24"/>
          <w:u w:val="single"/>
          <w:lang w:eastAsia="zh-CN"/>
        </w:rPr>
        <w:t>6</w:t>
      </w:r>
      <w:r>
        <w:rPr>
          <w:rFonts w:asciiTheme="majorEastAsia" w:hAnsiTheme="majorEastAsia" w:eastAsiaTheme="majorEastAsia"/>
          <w:sz w:val="24"/>
          <w:szCs w:val="24"/>
          <w:u w:val="single"/>
          <w:lang w:eastAsia="zh-CN"/>
        </w:rPr>
        <w:t>年度</w:t>
      </w:r>
      <w:r>
        <w:rPr>
          <w:rFonts w:hint="eastAsia" w:asciiTheme="majorEastAsia" w:hAnsiTheme="majorEastAsia" w:eastAsiaTheme="majorEastAsia"/>
          <w:sz w:val="24"/>
          <w:szCs w:val="24"/>
          <w:u w:val="single"/>
          <w:lang w:eastAsia="zh-CN"/>
        </w:rPr>
        <w:t>火灾高危单位消防安全评估服务</w:t>
      </w:r>
    </w:p>
    <w:p w14:paraId="2765202F">
      <w:pPr>
        <w:autoSpaceDE/>
        <w:autoSpaceDN/>
        <w:spacing w:line="440" w:lineRule="exact"/>
        <w:ind w:firstLine="480" w:firstLineChars="200"/>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(二)</w:t>
      </w:r>
      <w:r>
        <w:rPr>
          <w:rFonts w:hint="eastAsia" w:asciiTheme="majorEastAsia" w:hAnsiTheme="majorEastAsia" w:eastAsiaTheme="majorEastAsia"/>
          <w:sz w:val="24"/>
          <w:szCs w:val="24"/>
          <w:lang w:eastAsia="zh-CN"/>
        </w:rPr>
        <w:t>项目</w:t>
      </w:r>
      <w:r>
        <w:rPr>
          <w:rFonts w:asciiTheme="majorEastAsia" w:hAnsiTheme="majorEastAsia" w:eastAsiaTheme="majorEastAsia"/>
          <w:sz w:val="24"/>
          <w:szCs w:val="24"/>
          <w:lang w:eastAsia="zh-CN"/>
        </w:rPr>
        <w:t>地点：</w:t>
      </w:r>
      <w:r>
        <w:rPr>
          <w:rFonts w:hint="eastAsia" w:asciiTheme="majorEastAsia" w:hAnsiTheme="majorEastAsia" w:eastAsiaTheme="majorEastAsia"/>
          <w:sz w:val="24"/>
          <w:szCs w:val="24"/>
          <w:lang w:eastAsia="zh-CN"/>
        </w:rPr>
        <w:t>福建</w:t>
      </w:r>
      <w:r>
        <w:rPr>
          <w:rFonts w:asciiTheme="majorEastAsia" w:hAnsiTheme="majorEastAsia" w:eastAsiaTheme="majorEastAsia"/>
          <w:sz w:val="24"/>
          <w:szCs w:val="24"/>
          <w:lang w:eastAsia="zh-CN"/>
        </w:rPr>
        <w:t>福海创石油化工有限公司</w:t>
      </w:r>
    </w:p>
    <w:p w14:paraId="6BB2A328">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（三）承包方式：固定总价包干</w:t>
      </w:r>
    </w:p>
    <w:p w14:paraId="2ECF7415">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（四）项目简介：</w:t>
      </w:r>
    </w:p>
    <w:p w14:paraId="64D91381">
      <w:pPr>
        <w:autoSpaceDE/>
        <w:autoSpaceDN/>
        <w:spacing w:line="440" w:lineRule="exact"/>
        <w:ind w:firstLine="480" w:firstLineChars="200"/>
        <w:rPr>
          <w:rFonts w:asciiTheme="majorEastAsia" w:hAnsiTheme="majorEastAsia" w:eastAsiaTheme="majorEastAsia"/>
          <w:sz w:val="24"/>
          <w:szCs w:val="24"/>
          <w:lang w:eastAsia="zh-CN"/>
        </w:rPr>
      </w:pPr>
      <w:r>
        <w:rPr>
          <w:rFonts w:cs="Times New Roman" w:asciiTheme="majorEastAsia" w:hAnsiTheme="majorEastAsia" w:eastAsiaTheme="majorEastAsia"/>
          <w:kern w:val="2"/>
          <w:sz w:val="24"/>
          <w:szCs w:val="24"/>
          <w:lang w:eastAsia="zh-CN"/>
        </w:rPr>
        <w:t>按照</w:t>
      </w:r>
      <w:r>
        <w:rPr>
          <w:rFonts w:hint="eastAsia" w:asciiTheme="majorEastAsia" w:hAnsiTheme="majorEastAsia" w:eastAsiaTheme="majorEastAsia"/>
          <w:sz w:val="24"/>
          <w:szCs w:val="24"/>
          <w:lang w:eastAsia="zh-CN"/>
        </w:rPr>
        <w:t>《社会消防技术服务管理规定》及</w:t>
      </w:r>
      <w:r>
        <w:rPr>
          <w:rFonts w:hint="eastAsia" w:cs="Times New Roman" w:asciiTheme="majorEastAsia" w:hAnsiTheme="majorEastAsia" w:eastAsiaTheme="majorEastAsia"/>
          <w:kern w:val="2"/>
          <w:sz w:val="24"/>
          <w:szCs w:val="24"/>
          <w:lang w:eastAsia="zh-CN"/>
        </w:rPr>
        <w:t>福建消防技术服务信息平台相关要求开展</w:t>
      </w:r>
      <w:r>
        <w:rPr>
          <w:rFonts w:cs="Times New Roman" w:asciiTheme="majorEastAsia" w:hAnsiTheme="majorEastAsia" w:eastAsiaTheme="majorEastAsia"/>
          <w:kern w:val="2"/>
          <w:sz w:val="24"/>
          <w:szCs w:val="24"/>
          <w:lang w:eastAsia="zh-CN"/>
        </w:rPr>
        <w:t>消防</w:t>
      </w:r>
      <w:r>
        <w:rPr>
          <w:rFonts w:hint="eastAsia" w:cs="Times New Roman" w:asciiTheme="majorEastAsia" w:hAnsiTheme="majorEastAsia" w:eastAsiaTheme="majorEastAsia"/>
          <w:kern w:val="2"/>
          <w:sz w:val="24"/>
          <w:szCs w:val="24"/>
          <w:lang w:eastAsia="zh-CN"/>
        </w:rPr>
        <w:t>安全评估</w:t>
      </w:r>
      <w:r>
        <w:rPr>
          <w:rFonts w:cs="Times New Roman" w:asciiTheme="majorEastAsia" w:hAnsiTheme="majorEastAsia" w:eastAsiaTheme="majorEastAsia"/>
          <w:kern w:val="2"/>
          <w:sz w:val="24"/>
          <w:szCs w:val="24"/>
          <w:lang w:eastAsia="zh-CN"/>
        </w:rPr>
        <w:t>技术服务</w:t>
      </w:r>
      <w:r>
        <w:rPr>
          <w:rFonts w:hint="eastAsia" w:cs="Times New Roman" w:asciiTheme="majorEastAsia" w:hAnsiTheme="majorEastAsia" w:eastAsiaTheme="majorEastAsia"/>
          <w:kern w:val="2"/>
          <w:sz w:val="24"/>
          <w:szCs w:val="24"/>
          <w:lang w:eastAsia="zh-CN"/>
        </w:rPr>
        <w:t>。</w:t>
      </w:r>
      <w:r>
        <w:rPr>
          <w:rFonts w:cs="Times New Roman" w:asciiTheme="majorEastAsia" w:hAnsiTheme="majorEastAsia" w:eastAsiaTheme="majorEastAsia"/>
          <w:kern w:val="2"/>
          <w:sz w:val="24"/>
          <w:szCs w:val="24"/>
          <w:lang w:eastAsia="zh-CN"/>
        </w:rPr>
        <w:t>本次</w:t>
      </w:r>
      <w:r>
        <w:rPr>
          <w:rFonts w:hint="eastAsia" w:cs="Times New Roman" w:asciiTheme="majorEastAsia" w:hAnsiTheme="majorEastAsia" w:eastAsiaTheme="majorEastAsia"/>
          <w:kern w:val="2"/>
          <w:sz w:val="24"/>
          <w:szCs w:val="24"/>
          <w:lang w:eastAsia="zh-CN"/>
        </w:rPr>
        <w:t>询比</w:t>
      </w:r>
      <w:r>
        <w:rPr>
          <w:rFonts w:cs="Times New Roman" w:asciiTheme="majorEastAsia" w:hAnsiTheme="majorEastAsia" w:eastAsiaTheme="majorEastAsia"/>
          <w:kern w:val="2"/>
          <w:sz w:val="24"/>
          <w:szCs w:val="24"/>
          <w:lang w:eastAsia="zh-CN"/>
        </w:rPr>
        <w:t>包含福建福海创石油化工有限公</w:t>
      </w:r>
      <w:r>
        <w:rPr>
          <w:rFonts w:hint="eastAsia" w:asciiTheme="majorEastAsia" w:hAnsiTheme="majorEastAsia" w:eastAsiaTheme="majorEastAsia"/>
          <w:sz w:val="24"/>
          <w:szCs w:val="24"/>
          <w:lang w:eastAsia="zh-CN"/>
        </w:rPr>
        <w:t>司</w:t>
      </w:r>
      <w:r>
        <w:rPr>
          <w:rFonts w:cs="Times New Roman" w:asciiTheme="majorEastAsia" w:hAnsiTheme="majorEastAsia" w:eastAsiaTheme="majorEastAsia"/>
          <w:kern w:val="2"/>
          <w:sz w:val="24"/>
          <w:szCs w:val="24"/>
          <w:lang w:eastAsia="zh-CN"/>
        </w:rPr>
        <w:t>、</w:t>
      </w:r>
      <w:r>
        <w:rPr>
          <w:rFonts w:hint="eastAsia" w:asciiTheme="majorEastAsia" w:hAnsiTheme="majorEastAsia" w:eastAsiaTheme="majorEastAsia"/>
          <w:sz w:val="24"/>
          <w:szCs w:val="24"/>
          <w:lang w:eastAsia="zh-CN"/>
        </w:rPr>
        <w:t>腾龙芳烃（漳州）有限公司。</w:t>
      </w:r>
    </w:p>
    <w:p w14:paraId="4C502136">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（五）询比内容</w:t>
      </w:r>
    </w:p>
    <w:p w14:paraId="352F035C">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按照闽公消〔20</w:t>
      </w:r>
      <w:r>
        <w:rPr>
          <w:rFonts w:asciiTheme="majorEastAsia" w:hAnsiTheme="majorEastAsia" w:eastAsiaTheme="majorEastAsia"/>
          <w:sz w:val="24"/>
          <w:szCs w:val="24"/>
          <w:lang w:eastAsia="zh-CN"/>
        </w:rPr>
        <w:t>18</w:t>
      </w:r>
      <w:r>
        <w:rPr>
          <w:rFonts w:hint="eastAsia" w:asciiTheme="majorEastAsia" w:hAnsiTheme="majorEastAsia" w:eastAsiaTheme="majorEastAsia"/>
          <w:sz w:val="24"/>
          <w:szCs w:val="24"/>
          <w:lang w:eastAsia="zh-CN"/>
        </w:rPr>
        <w:t>〕3</w:t>
      </w:r>
      <w:r>
        <w:rPr>
          <w:rFonts w:asciiTheme="majorEastAsia" w:hAnsiTheme="majorEastAsia" w:eastAsiaTheme="majorEastAsia"/>
          <w:sz w:val="24"/>
          <w:szCs w:val="24"/>
          <w:lang w:eastAsia="zh-CN"/>
        </w:rPr>
        <w:t>2号关于印发</w:t>
      </w:r>
      <w:r>
        <w:rPr>
          <w:rFonts w:hint="eastAsia" w:asciiTheme="majorEastAsia" w:hAnsiTheme="majorEastAsia" w:eastAsiaTheme="majorEastAsia"/>
          <w:sz w:val="24"/>
          <w:szCs w:val="24"/>
          <w:lang w:eastAsia="zh-CN"/>
        </w:rPr>
        <w:t>《福建省建筑消防安全评查规定》（试行）的通知要求开展相关消防安全评估，详细见附件“发包说明”</w:t>
      </w:r>
    </w:p>
    <w:p w14:paraId="45CC4F2D">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（六）服务范围及要求</w:t>
      </w:r>
    </w:p>
    <w:p w14:paraId="164A2164">
      <w:pPr>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w:t>
      </w:r>
      <w:r>
        <w:rPr>
          <w:rFonts w:cs="Times New Roman" w:asciiTheme="majorEastAsia" w:hAnsiTheme="majorEastAsia" w:eastAsiaTheme="majorEastAsia"/>
          <w:kern w:val="2"/>
          <w:sz w:val="24"/>
          <w:szCs w:val="24"/>
          <w:lang w:eastAsia="zh-CN"/>
        </w:rPr>
        <w:t xml:space="preserve"> 按照</w:t>
      </w:r>
      <w:r>
        <w:rPr>
          <w:rFonts w:hint="eastAsia" w:asciiTheme="majorEastAsia" w:hAnsiTheme="majorEastAsia" w:eastAsiaTheme="majorEastAsia"/>
          <w:sz w:val="24"/>
          <w:szCs w:val="24"/>
          <w:lang w:eastAsia="zh-CN"/>
        </w:rPr>
        <w:t>《社会消防技术服务管理规定》及</w:t>
      </w:r>
      <w:r>
        <w:rPr>
          <w:rFonts w:hint="eastAsia" w:cs="Times New Roman" w:asciiTheme="majorEastAsia" w:hAnsiTheme="majorEastAsia" w:eastAsiaTheme="majorEastAsia"/>
          <w:kern w:val="2"/>
          <w:sz w:val="24"/>
          <w:szCs w:val="24"/>
          <w:lang w:eastAsia="zh-CN"/>
        </w:rPr>
        <w:t>福建消防技术服务信息平台相关</w:t>
      </w:r>
      <w:r>
        <w:rPr>
          <w:rFonts w:hint="eastAsia" w:asciiTheme="majorEastAsia" w:hAnsiTheme="majorEastAsia" w:eastAsiaTheme="majorEastAsia"/>
          <w:sz w:val="24"/>
          <w:szCs w:val="24"/>
          <w:lang w:eastAsia="zh-CN"/>
        </w:rPr>
        <w:t>要求，对发包单位进行消防安全评估，并提供</w:t>
      </w:r>
      <w:r>
        <w:rPr>
          <w:rFonts w:hint="eastAsia" w:cs="Times New Roman" w:asciiTheme="majorEastAsia" w:hAnsiTheme="majorEastAsia" w:eastAsiaTheme="majorEastAsia"/>
          <w:kern w:val="2"/>
          <w:sz w:val="24"/>
          <w:szCs w:val="24"/>
          <w:lang w:eastAsia="zh-CN"/>
        </w:rPr>
        <w:t>消防评查纸质报告各一式</w:t>
      </w:r>
      <w:r>
        <w:rPr>
          <w:rFonts w:cs="Times New Roman" w:asciiTheme="majorEastAsia" w:hAnsiTheme="majorEastAsia" w:eastAsiaTheme="majorEastAsia"/>
          <w:kern w:val="2"/>
          <w:sz w:val="24"/>
          <w:szCs w:val="24"/>
          <w:lang w:eastAsia="zh-CN"/>
        </w:rPr>
        <w:t>4</w:t>
      </w:r>
      <w:r>
        <w:rPr>
          <w:rFonts w:hint="eastAsia" w:cs="Times New Roman" w:asciiTheme="majorEastAsia" w:hAnsiTheme="majorEastAsia" w:eastAsiaTheme="majorEastAsia"/>
          <w:kern w:val="2"/>
          <w:sz w:val="24"/>
          <w:szCs w:val="24"/>
          <w:lang w:eastAsia="zh-CN"/>
        </w:rPr>
        <w:t>份（装裱成册签字盖章版）、完整可编辑的电子版一份、签字盖章版扫描版一份。评查记录及报告应由评估人员和评估单位签字盖章，所提供的评查报告应符合消防部门的要求</w:t>
      </w:r>
      <w:r>
        <w:rPr>
          <w:rFonts w:hint="eastAsia" w:asciiTheme="majorEastAsia" w:hAnsiTheme="majorEastAsia" w:eastAsiaTheme="majorEastAsia"/>
          <w:sz w:val="24"/>
          <w:szCs w:val="24"/>
          <w:lang w:eastAsia="zh-CN"/>
        </w:rPr>
        <w:t>。</w:t>
      </w:r>
      <w:r>
        <w:rPr>
          <w:rFonts w:asciiTheme="majorEastAsia" w:hAnsiTheme="majorEastAsia" w:eastAsiaTheme="majorEastAsia"/>
          <w:sz w:val="24"/>
          <w:szCs w:val="24"/>
          <w:lang w:eastAsia="zh-CN"/>
        </w:rPr>
        <w:t xml:space="preserve"> </w:t>
      </w:r>
    </w:p>
    <w:p w14:paraId="4C2481E3">
      <w:pPr>
        <w:tabs>
          <w:tab w:val="left" w:pos="567"/>
        </w:tabs>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2.本次开展火灾高危单位消防安全评估服务并出具相关报告，如消防主管部门要求，需至现场配合检查工作时应积极配合。</w:t>
      </w:r>
    </w:p>
    <w:p w14:paraId="13FE2E31">
      <w:pPr>
        <w:tabs>
          <w:tab w:val="left" w:pos="567"/>
        </w:tabs>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3.开展的工作必须满足《中华人民共和国消防法》、《机关、团体、企业、事业单位消防安全管理规定（</w:t>
      </w:r>
      <w:r>
        <w:rPr>
          <w:rFonts w:asciiTheme="majorEastAsia" w:hAnsiTheme="majorEastAsia" w:eastAsiaTheme="majorEastAsia"/>
          <w:sz w:val="24"/>
          <w:szCs w:val="24"/>
          <w:lang w:eastAsia="zh-CN"/>
        </w:rPr>
        <w:t>61</w:t>
      </w:r>
      <w:r>
        <w:rPr>
          <w:rFonts w:hint="eastAsia" w:asciiTheme="majorEastAsia" w:hAnsiTheme="majorEastAsia" w:eastAsiaTheme="majorEastAsia"/>
          <w:sz w:val="24"/>
          <w:szCs w:val="24"/>
          <w:lang w:eastAsia="zh-CN"/>
        </w:rPr>
        <w:t>号令）》、《福建省消防条例》、《福建省火灾高危单位消防安全管理规定》、《火灾高危单位消防安全评估导则（试行）》、《建筑消防设施检测技术规程》、《计量法》等各类消防相关法律法规及规范标准的要求。</w:t>
      </w:r>
    </w:p>
    <w:p w14:paraId="1705600A">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（七）服务期限要求</w:t>
      </w:r>
    </w:p>
    <w:p w14:paraId="2EA7C8E3">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根据国家、省、市相关法律法规和行政规章，以及《火灾高危单位消防安全评估导则（试行）》的要求，对发包单位进行消防安全评估，合同生效后</w:t>
      </w:r>
      <w:r>
        <w:rPr>
          <w:rFonts w:asciiTheme="majorEastAsia" w:hAnsiTheme="majorEastAsia" w:eastAsiaTheme="majorEastAsia"/>
          <w:lang w:eastAsia="zh-CN"/>
        </w:rPr>
        <w:t>20个工作日内完成</w:t>
      </w:r>
    </w:p>
    <w:p w14:paraId="63FA35A6">
      <w:pPr>
        <w:pStyle w:val="19"/>
        <w:spacing w:line="440" w:lineRule="exact"/>
        <w:ind w:firstLine="360" w:firstLineChars="150"/>
        <w:rPr>
          <w:rFonts w:asciiTheme="majorEastAsia" w:hAnsiTheme="majorEastAsia" w:eastAsiaTheme="majorEastAsia"/>
          <w:lang w:eastAsia="zh-CN"/>
        </w:rPr>
      </w:pPr>
      <w:r>
        <w:rPr>
          <w:rFonts w:hint="eastAsia" w:asciiTheme="majorEastAsia" w:hAnsiTheme="majorEastAsia" w:eastAsiaTheme="majorEastAsia"/>
          <w:lang w:eastAsia="zh-CN"/>
        </w:rPr>
        <w:t>（八）项目联系人：</w:t>
      </w:r>
    </w:p>
    <w:p w14:paraId="6D7DE43B">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技术联系人：邵云中1</w:t>
      </w:r>
      <w:r>
        <w:rPr>
          <w:rFonts w:asciiTheme="majorEastAsia" w:hAnsiTheme="majorEastAsia" w:eastAsiaTheme="majorEastAsia"/>
          <w:sz w:val="24"/>
          <w:szCs w:val="24"/>
          <w:lang w:eastAsia="zh-CN"/>
        </w:rPr>
        <w:t>9959614087</w:t>
      </w:r>
    </w:p>
    <w:p w14:paraId="4EB084CD">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商务联系人：黄梅钦13806001925</w:t>
      </w:r>
    </w:p>
    <w:p w14:paraId="2CB41314">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二、定义和解释</w:t>
      </w:r>
    </w:p>
    <w:p w14:paraId="5623FD49">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1.“询比人”系</w:t>
      </w:r>
      <w:r>
        <w:rPr>
          <w:rFonts w:hint="eastAsia" w:asciiTheme="majorEastAsia" w:hAnsiTheme="majorEastAsia" w:eastAsiaTheme="majorEastAsia"/>
          <w:lang w:eastAsia="zh-CN"/>
        </w:rPr>
        <w:t>福建</w:t>
      </w:r>
      <w:r>
        <w:rPr>
          <w:rFonts w:asciiTheme="majorEastAsia" w:hAnsiTheme="majorEastAsia" w:eastAsiaTheme="majorEastAsia"/>
          <w:lang w:eastAsia="zh-CN"/>
        </w:rPr>
        <w:t>福海创石油化工有限公司，即业主方。</w:t>
      </w:r>
    </w:p>
    <w:p w14:paraId="157419B7">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spacing w:val="-11"/>
          <w:lang w:eastAsia="zh-CN"/>
        </w:rPr>
        <w:t>2</w:t>
      </w:r>
      <w:r>
        <w:rPr>
          <w:rFonts w:asciiTheme="majorEastAsia" w:hAnsiTheme="majorEastAsia" w:eastAsiaTheme="majorEastAsia"/>
          <w:spacing w:val="-10"/>
          <w:lang w:eastAsia="zh-CN"/>
        </w:rPr>
        <w:t>.“</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”系指向询比人报名并接受邀请，领取询比文件，且已经提交或准备提交本次参选文件的法人。</w:t>
      </w:r>
    </w:p>
    <w:p w14:paraId="4BB3F574">
      <w:pPr>
        <w:pStyle w:val="19"/>
        <w:spacing w:line="440" w:lineRule="exact"/>
        <w:ind w:right="-238" w:rightChars="-108" w:firstLine="480"/>
        <w:rPr>
          <w:rFonts w:asciiTheme="majorEastAsia" w:hAnsiTheme="majorEastAsia" w:eastAsiaTheme="majorEastAsia"/>
          <w:spacing w:val="-10"/>
          <w:lang w:eastAsia="zh-CN"/>
        </w:rPr>
      </w:pPr>
      <w:r>
        <w:rPr>
          <w:rFonts w:asciiTheme="majorEastAsia" w:hAnsiTheme="majorEastAsia" w:eastAsiaTheme="majorEastAsia"/>
          <w:spacing w:val="-14"/>
          <w:lang w:eastAsia="zh-CN"/>
        </w:rPr>
        <w:t>3</w:t>
      </w:r>
      <w:r>
        <w:rPr>
          <w:rFonts w:asciiTheme="majorEastAsia" w:hAnsiTheme="majorEastAsia" w:eastAsiaTheme="majorEastAsia"/>
          <w:spacing w:val="-10"/>
          <w:lang w:eastAsia="zh-CN"/>
        </w:rPr>
        <w:t>.“</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代表”系指全权代表</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参加本次询比活动并签署参选文件的人，如果</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代表不是</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的法定代表人，须持有《法定代表人授权委托书》详见附件。</w:t>
      </w:r>
    </w:p>
    <w:p w14:paraId="76646DD7">
      <w:pPr>
        <w:pStyle w:val="19"/>
        <w:spacing w:line="440" w:lineRule="exact"/>
        <w:ind w:firstLine="480"/>
        <w:rPr>
          <w:rFonts w:asciiTheme="majorEastAsia" w:hAnsiTheme="majorEastAsia" w:eastAsiaTheme="majorEastAsia"/>
          <w:lang w:eastAsia="zh-CN"/>
        </w:rPr>
      </w:pPr>
      <w:r>
        <w:rPr>
          <w:rFonts w:hint="eastAsia" w:asciiTheme="majorEastAsia" w:hAnsiTheme="majorEastAsia" w:eastAsiaTheme="majorEastAsia"/>
          <w:spacing w:val="-10"/>
          <w:lang w:eastAsia="zh-CN"/>
        </w:rPr>
        <w:t>4</w:t>
      </w:r>
      <w:r>
        <w:rPr>
          <w:rFonts w:asciiTheme="majorEastAsia" w:hAnsiTheme="majorEastAsia" w:eastAsiaTheme="majorEastAsia"/>
          <w:spacing w:val="-10"/>
          <w:lang w:eastAsia="zh-CN"/>
        </w:rPr>
        <w:t>.</w:t>
      </w:r>
      <w:r>
        <w:rPr>
          <w:rFonts w:hint="eastAsia" w:asciiTheme="majorEastAsia" w:hAnsiTheme="majorEastAsia" w:eastAsiaTheme="majorEastAsia"/>
          <w:lang w:eastAsia="zh-CN"/>
        </w:rPr>
        <w:t xml:space="preserve"> “服务”系指询比文件规定参比人为完成全部合同义务须承担的所有工作及其他类似的义务。</w:t>
      </w:r>
    </w:p>
    <w:p w14:paraId="47BD9633">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三、询比文件组成</w:t>
      </w:r>
    </w:p>
    <w:p w14:paraId="59DEC78B">
      <w:pPr>
        <w:pStyle w:val="19"/>
        <w:spacing w:line="440" w:lineRule="exact"/>
        <w:ind w:firstLine="480"/>
        <w:rPr>
          <w:rFonts w:asciiTheme="majorEastAsia" w:hAnsiTheme="majorEastAsia" w:eastAsiaTheme="majorEastAsia"/>
          <w:spacing w:val="-9"/>
          <w:lang w:eastAsia="zh-CN"/>
        </w:rPr>
      </w:pPr>
      <w:r>
        <w:rPr>
          <w:rFonts w:asciiTheme="majorEastAsia" w:hAnsiTheme="majorEastAsia" w:eastAsiaTheme="majorEastAsia"/>
          <w:spacing w:val="-9"/>
          <w:lang w:eastAsia="zh-CN"/>
        </w:rPr>
        <w:t>1.询比文件包括下列内容：</w:t>
      </w:r>
    </w:p>
    <w:p w14:paraId="0D6A107C">
      <w:pPr>
        <w:pStyle w:val="19"/>
        <w:spacing w:line="440" w:lineRule="exact"/>
        <w:ind w:firstLine="480"/>
        <w:rPr>
          <w:rFonts w:asciiTheme="majorEastAsia" w:hAnsiTheme="majorEastAsia" w:eastAsiaTheme="majorEastAsia"/>
          <w:spacing w:val="-9"/>
          <w:lang w:eastAsia="zh-CN"/>
        </w:rPr>
      </w:pPr>
      <w:r>
        <w:rPr>
          <w:rFonts w:asciiTheme="majorEastAsia" w:hAnsiTheme="majorEastAsia" w:eastAsiaTheme="majorEastAsia"/>
          <w:spacing w:val="-9"/>
          <w:lang w:eastAsia="zh-CN"/>
        </w:rPr>
        <w:t>询比公告、询比须知、项目内容、合同书格式、报价单、承诺函等。</w:t>
      </w:r>
    </w:p>
    <w:p w14:paraId="01C499CB">
      <w:pPr>
        <w:pStyle w:val="19"/>
        <w:spacing w:line="440" w:lineRule="exact"/>
        <w:ind w:firstLine="482"/>
        <w:rPr>
          <w:rFonts w:asciiTheme="majorEastAsia" w:hAnsiTheme="majorEastAsia" w:eastAsiaTheme="majorEastAsia"/>
          <w:spacing w:val="-9"/>
          <w:lang w:eastAsia="zh-CN"/>
        </w:rPr>
      </w:pPr>
      <w:r>
        <w:rPr>
          <w:rFonts w:asciiTheme="majorEastAsia" w:hAnsiTheme="majorEastAsia" w:eastAsiaTheme="majorEastAsia"/>
          <w:spacing w:val="-9"/>
          <w:lang w:eastAsia="zh-CN"/>
        </w:rPr>
        <w:t>2.询比文件除 1 中内容外，询比人在询比期间发出的书面文件和其他修改或补充函件，均是询比文件不可分割的组成部分。</w:t>
      </w:r>
    </w:p>
    <w:p w14:paraId="547472DF">
      <w:pPr>
        <w:pStyle w:val="19"/>
        <w:spacing w:line="440" w:lineRule="exact"/>
        <w:ind w:firstLine="482"/>
        <w:rPr>
          <w:rFonts w:asciiTheme="majorEastAsia" w:hAnsiTheme="majorEastAsia" w:eastAsiaTheme="majorEastAsia"/>
          <w:spacing w:val="-9"/>
          <w:lang w:eastAsia="zh-CN"/>
        </w:rPr>
      </w:pPr>
      <w:r>
        <w:rPr>
          <w:rFonts w:asciiTheme="majorEastAsia" w:hAnsiTheme="majorEastAsia" w:eastAsiaTheme="majorEastAsia"/>
          <w:spacing w:val="-9"/>
          <w:lang w:eastAsia="zh-CN"/>
        </w:rPr>
        <w:t>3.</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应认真阅读、并充分理解询比文件的全部内容（包括所有的补充、修改内容、重要事项、格式、条款和技术规范、参数及要求等）。</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没有按照询比文件要求提交全部资料，或者没有对询比文件在各方面都做出实质性响应是</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的风险，有可能导致其参选被拒绝，或被认定为无效参选或被确定为参选无效。</w:t>
      </w:r>
    </w:p>
    <w:p w14:paraId="3C2160EE">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四、询比文件的澄清</w:t>
      </w:r>
    </w:p>
    <w:p w14:paraId="7A6CEBDC">
      <w:pPr>
        <w:pStyle w:val="19"/>
        <w:spacing w:line="440" w:lineRule="exact"/>
        <w:ind w:firstLine="480"/>
        <w:rPr>
          <w:rFonts w:asciiTheme="majorEastAsia" w:hAnsiTheme="majorEastAsia" w:eastAsiaTheme="majorEastAsia"/>
          <w:lang w:eastAsia="zh-CN"/>
        </w:rPr>
      </w:pP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获取询比文件后，应仔细检查询比文件的所有内容，如有残缺等问题应在获得</w:t>
      </w:r>
      <w:r>
        <w:rPr>
          <w:rFonts w:asciiTheme="majorEastAsia" w:hAnsiTheme="majorEastAsia" w:eastAsiaTheme="majorEastAsia"/>
          <w:spacing w:val="-20"/>
          <w:lang w:eastAsia="zh-CN"/>
        </w:rPr>
        <w:t xml:space="preserve">询比文件 </w:t>
      </w:r>
      <w:r>
        <w:rPr>
          <w:rFonts w:asciiTheme="majorEastAsia" w:hAnsiTheme="majorEastAsia" w:eastAsiaTheme="majorEastAsia"/>
          <w:lang w:eastAsia="zh-CN"/>
        </w:rPr>
        <w:t>3</w:t>
      </w:r>
      <w:r>
        <w:rPr>
          <w:rFonts w:asciiTheme="majorEastAsia" w:hAnsiTheme="majorEastAsia" w:eastAsiaTheme="majorEastAsia"/>
          <w:spacing w:val="-13"/>
          <w:lang w:eastAsia="zh-CN"/>
        </w:rPr>
        <w:t xml:space="preserve"> 日内向询比人提出。</w:t>
      </w:r>
      <w:r>
        <w:rPr>
          <w:rFonts w:hint="eastAsia" w:asciiTheme="majorEastAsia" w:hAnsiTheme="majorEastAsia" w:eastAsiaTheme="majorEastAsia"/>
          <w:spacing w:val="-13"/>
          <w:lang w:eastAsia="zh-CN"/>
        </w:rPr>
        <w:t>参比人</w:t>
      </w:r>
      <w:r>
        <w:rPr>
          <w:rFonts w:asciiTheme="majorEastAsia" w:hAnsiTheme="majorEastAsia" w:eastAsiaTheme="majorEastAsia"/>
          <w:spacing w:val="-13"/>
          <w:lang w:eastAsia="zh-CN"/>
        </w:rPr>
        <w:t>若对询比文件有任何疑问，应在参选截止时间前</w:t>
      </w:r>
      <w:r>
        <w:rPr>
          <w:rFonts w:hint="eastAsia" w:asciiTheme="majorEastAsia" w:hAnsiTheme="majorEastAsia" w:eastAsiaTheme="majorEastAsia"/>
          <w:spacing w:val="-13"/>
          <w:lang w:eastAsia="zh-CN"/>
        </w:rPr>
        <w:t xml:space="preserve"> </w:t>
      </w:r>
      <w:r>
        <w:rPr>
          <w:rFonts w:asciiTheme="majorEastAsia" w:hAnsiTheme="majorEastAsia" w:eastAsiaTheme="majorEastAsia"/>
          <w:lang w:eastAsia="zh-CN"/>
        </w:rPr>
        <w:t xml:space="preserve">5 </w:t>
      </w:r>
      <w:r>
        <w:rPr>
          <w:rFonts w:asciiTheme="majorEastAsia" w:hAnsiTheme="majorEastAsia" w:eastAsiaTheme="majorEastAsia"/>
          <w:spacing w:val="-10"/>
          <w:lang w:eastAsia="zh-CN"/>
        </w:rPr>
        <w:t>日，按参选须知载明的地址以书面形式</w:t>
      </w:r>
      <w:r>
        <w:rPr>
          <w:rFonts w:asciiTheme="majorEastAsia" w:hAnsiTheme="majorEastAsia" w:eastAsiaTheme="majorEastAsia"/>
          <w:spacing w:val="-3"/>
          <w:lang w:eastAsia="zh-CN"/>
        </w:rPr>
        <w:t>（</w:t>
      </w:r>
      <w:r>
        <w:rPr>
          <w:rFonts w:asciiTheme="majorEastAsia" w:hAnsiTheme="majorEastAsia" w:eastAsiaTheme="majorEastAsia"/>
          <w:spacing w:val="-10"/>
          <w:lang w:eastAsia="zh-CN"/>
        </w:rPr>
        <w:t>包括书面、传真、电子邮件下同</w:t>
      </w:r>
      <w:r>
        <w:rPr>
          <w:rFonts w:asciiTheme="majorEastAsia" w:hAnsiTheme="majorEastAsia" w:eastAsiaTheme="majorEastAsia"/>
          <w:spacing w:val="-49"/>
          <w:lang w:eastAsia="zh-CN"/>
        </w:rPr>
        <w:t>）</w:t>
      </w:r>
      <w:r>
        <w:rPr>
          <w:rFonts w:asciiTheme="majorEastAsia" w:hAnsiTheme="majorEastAsia" w:eastAsiaTheme="majorEastAsia"/>
          <w:lang w:eastAsia="zh-CN"/>
        </w:rPr>
        <w:t>通知到询比人。</w:t>
      </w:r>
      <w:r>
        <w:rPr>
          <w:rFonts w:asciiTheme="majorEastAsia" w:hAnsiTheme="majorEastAsia" w:eastAsiaTheme="majorEastAsia"/>
          <w:spacing w:val="-4"/>
          <w:lang w:eastAsia="zh-CN"/>
        </w:rPr>
        <w:t>询比人将视情况确定采用适当方式予以澄清或以书面形式予以答复，澄清文件作为询比文件的组成部分，具有约束作用。</w:t>
      </w:r>
    </w:p>
    <w:p w14:paraId="2FCE47E0">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五、询比文件的修改、补充</w:t>
      </w:r>
    </w:p>
    <w:p w14:paraId="0316C266">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1.在参选截止日期前，询比人可主动地或依据</w:t>
      </w:r>
      <w:r>
        <w:rPr>
          <w:rFonts w:hint="eastAsia" w:asciiTheme="majorEastAsia" w:hAnsiTheme="majorEastAsia" w:eastAsiaTheme="majorEastAsia"/>
          <w:lang w:eastAsia="zh-CN"/>
        </w:rPr>
        <w:t>参比人</w:t>
      </w:r>
      <w:r>
        <w:rPr>
          <w:rFonts w:asciiTheme="majorEastAsia" w:hAnsiTheme="majorEastAsia" w:eastAsiaTheme="majorEastAsia"/>
          <w:lang w:eastAsia="zh-CN"/>
        </w:rPr>
        <w:t>要求澄清的问题而修改询比文</w:t>
      </w:r>
      <w:r>
        <w:rPr>
          <w:rFonts w:asciiTheme="majorEastAsia" w:hAnsiTheme="majorEastAsia" w:eastAsiaTheme="majorEastAsia"/>
          <w:spacing w:val="-10"/>
          <w:lang w:eastAsia="zh-CN"/>
        </w:rPr>
        <w:t>件，并以书面形式通知所有报名参加询比项目的每一</w:t>
      </w:r>
      <w:r>
        <w:rPr>
          <w:rFonts w:hint="eastAsia" w:asciiTheme="majorEastAsia" w:hAnsiTheme="majorEastAsia" w:eastAsiaTheme="majorEastAsia"/>
          <w:spacing w:val="-10"/>
          <w:lang w:eastAsia="zh-CN"/>
        </w:rPr>
        <w:t>参比人</w:t>
      </w:r>
      <w:r>
        <w:rPr>
          <w:rFonts w:asciiTheme="majorEastAsia" w:hAnsiTheme="majorEastAsia" w:eastAsiaTheme="majorEastAsia"/>
          <w:spacing w:val="-10"/>
          <w:lang w:eastAsia="zh-CN"/>
        </w:rPr>
        <w:t>，对方在收到该通知后应立即</w:t>
      </w:r>
      <w:r>
        <w:rPr>
          <w:rFonts w:asciiTheme="majorEastAsia" w:hAnsiTheme="majorEastAsia" w:eastAsiaTheme="majorEastAsia"/>
          <w:spacing w:val="-2"/>
          <w:lang w:eastAsia="zh-CN"/>
        </w:rPr>
        <w:t>以书面形式予以确认；</w:t>
      </w:r>
      <w:r>
        <w:rPr>
          <w:rFonts w:hint="eastAsia" w:asciiTheme="majorEastAsia" w:hAnsiTheme="majorEastAsia" w:eastAsiaTheme="majorEastAsia"/>
          <w:spacing w:val="-2"/>
          <w:lang w:eastAsia="zh-CN"/>
        </w:rPr>
        <w:t>参比人</w:t>
      </w:r>
      <w:r>
        <w:rPr>
          <w:rFonts w:asciiTheme="majorEastAsia" w:hAnsiTheme="majorEastAsia" w:eastAsiaTheme="majorEastAsia"/>
          <w:spacing w:val="-2"/>
          <w:lang w:eastAsia="zh-CN"/>
        </w:rPr>
        <w:t>未按规定时间予以确认或未按规定时间地点领取书面文件的，视询比通知已收到。</w:t>
      </w:r>
    </w:p>
    <w:p w14:paraId="0DCF8030">
      <w:pPr>
        <w:pStyle w:val="19"/>
        <w:spacing w:line="440" w:lineRule="exact"/>
        <w:ind w:right="-238" w:rightChars="-108" w:firstLine="480"/>
        <w:rPr>
          <w:rFonts w:asciiTheme="majorEastAsia" w:hAnsiTheme="majorEastAsia" w:eastAsiaTheme="majorEastAsia"/>
          <w:lang w:eastAsia="zh-CN"/>
        </w:rPr>
      </w:pPr>
      <w:r>
        <w:rPr>
          <w:rFonts w:asciiTheme="majorEastAsia" w:hAnsiTheme="majorEastAsia" w:eastAsiaTheme="majorEastAsia"/>
          <w:lang w:eastAsia="zh-CN"/>
        </w:rPr>
        <w:t>2.</w:t>
      </w:r>
      <w:r>
        <w:rPr>
          <w:rFonts w:asciiTheme="majorEastAsia" w:hAnsiTheme="majorEastAsia" w:eastAsiaTheme="majorEastAsia"/>
          <w:spacing w:val="-5"/>
          <w:lang w:eastAsia="zh-CN"/>
        </w:rPr>
        <w:t>为使</w:t>
      </w:r>
      <w:r>
        <w:rPr>
          <w:rFonts w:hint="eastAsia" w:asciiTheme="majorEastAsia" w:hAnsiTheme="majorEastAsia" w:eastAsiaTheme="majorEastAsia"/>
          <w:spacing w:val="-5"/>
          <w:lang w:eastAsia="zh-CN"/>
        </w:rPr>
        <w:t>参比人</w:t>
      </w:r>
      <w:r>
        <w:rPr>
          <w:rFonts w:asciiTheme="majorEastAsia" w:hAnsiTheme="majorEastAsia" w:eastAsiaTheme="majorEastAsia"/>
          <w:spacing w:val="-5"/>
          <w:lang w:eastAsia="zh-CN"/>
        </w:rPr>
        <w:t>在准备参选文件时有合理的时间考虑询比文件的修改，询比人可酌情推迟参选截止时间和开评时间，并以书面形式通知已获得询比文件的每一</w:t>
      </w:r>
      <w:r>
        <w:rPr>
          <w:rFonts w:hint="eastAsia" w:asciiTheme="majorEastAsia" w:hAnsiTheme="majorEastAsia" w:eastAsiaTheme="majorEastAsia"/>
          <w:spacing w:val="-5"/>
          <w:lang w:eastAsia="zh-CN"/>
        </w:rPr>
        <w:t>参比人</w:t>
      </w:r>
      <w:r>
        <w:rPr>
          <w:rFonts w:asciiTheme="majorEastAsia" w:hAnsiTheme="majorEastAsia" w:eastAsiaTheme="majorEastAsia"/>
          <w:spacing w:val="-5"/>
          <w:lang w:eastAsia="zh-CN"/>
        </w:rPr>
        <w:t>。</w:t>
      </w:r>
    </w:p>
    <w:p w14:paraId="350DC907">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3.询比文件的修改书将构成询比文件的一部分，对</w:t>
      </w:r>
      <w:r>
        <w:rPr>
          <w:rFonts w:hint="eastAsia" w:asciiTheme="majorEastAsia" w:hAnsiTheme="majorEastAsia" w:eastAsiaTheme="majorEastAsia"/>
          <w:lang w:eastAsia="zh-CN"/>
        </w:rPr>
        <w:t>参比人</w:t>
      </w:r>
      <w:r>
        <w:rPr>
          <w:rFonts w:asciiTheme="majorEastAsia" w:hAnsiTheme="majorEastAsia" w:eastAsiaTheme="majorEastAsia"/>
          <w:lang w:eastAsia="zh-CN"/>
        </w:rPr>
        <w:t>具有约束作用。</w:t>
      </w:r>
    </w:p>
    <w:p w14:paraId="10F61D89">
      <w:pPr>
        <w:pStyle w:val="19"/>
        <w:spacing w:line="440" w:lineRule="exact"/>
        <w:ind w:right="-381" w:rightChars="-173"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4.询比人所作的一切有效补充、修改文件，均被视为询比文件不可分割的部分。</w:t>
      </w:r>
    </w:p>
    <w:p w14:paraId="404AF7F8">
      <w:pPr>
        <w:pStyle w:val="2"/>
        <w:spacing w:line="440" w:lineRule="exact"/>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六、</w:t>
      </w:r>
      <w:r>
        <w:rPr>
          <w:rFonts w:hint="eastAsia" w:asciiTheme="majorEastAsia" w:hAnsiTheme="majorEastAsia" w:eastAsiaTheme="majorEastAsia"/>
          <w:w w:val="95"/>
          <w:sz w:val="24"/>
          <w:szCs w:val="24"/>
          <w:lang w:eastAsia="zh-CN"/>
        </w:rPr>
        <w:t>参比人</w:t>
      </w:r>
      <w:r>
        <w:rPr>
          <w:rFonts w:asciiTheme="majorEastAsia" w:hAnsiTheme="majorEastAsia" w:eastAsiaTheme="majorEastAsia"/>
          <w:w w:val="95"/>
          <w:sz w:val="24"/>
          <w:szCs w:val="24"/>
          <w:lang w:eastAsia="zh-CN"/>
        </w:rPr>
        <w:t>资格</w:t>
      </w:r>
    </w:p>
    <w:p w14:paraId="0C766B68">
      <w:pPr>
        <w:tabs>
          <w:tab w:val="left" w:pos="709"/>
        </w:tabs>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1.参比人必须具备独立法人资格，须持有有效的工商营业执照和税务登记证，营业执照经营范围必须包含消防安全评估；</w:t>
      </w:r>
    </w:p>
    <w:p w14:paraId="7E99EF63">
      <w:pPr>
        <w:pStyle w:val="73"/>
        <w:adjustRightInd/>
        <w:spacing w:line="440" w:lineRule="exact"/>
        <w:ind w:firstLine="480" w:firstLineChars="200"/>
        <w:rPr>
          <w:rFonts w:asciiTheme="majorEastAsia" w:hAnsiTheme="majorEastAsia" w:eastAsiaTheme="majorEastAsia"/>
          <w:snapToGrid w:val="0"/>
        </w:rPr>
      </w:pPr>
      <w:r>
        <w:rPr>
          <w:rFonts w:hint="eastAsia" w:asciiTheme="majorEastAsia" w:hAnsiTheme="majorEastAsia" w:eastAsiaTheme="majorEastAsia"/>
        </w:rPr>
        <w:t>2.参比人必</w:t>
      </w:r>
      <w:r>
        <w:rPr>
          <w:rFonts w:hint="eastAsia" w:asciiTheme="majorEastAsia" w:hAnsiTheme="majorEastAsia" w:eastAsiaTheme="majorEastAsia"/>
          <w:snapToGrid w:val="0"/>
        </w:rPr>
        <w:t>在福建消防的“福建消防技术服务信息平台”消防安全评估机构为“三星及以上”的服务机构；</w:t>
      </w:r>
    </w:p>
    <w:p w14:paraId="3C929120">
      <w:pPr>
        <w:tabs>
          <w:tab w:val="left" w:pos="709"/>
        </w:tabs>
        <w:spacing w:line="440" w:lineRule="exact"/>
        <w:ind w:firstLine="480" w:firstLineChars="200"/>
        <w:rPr>
          <w:rFonts w:asciiTheme="majorEastAsia" w:hAnsiTheme="majorEastAsia" w:eastAsiaTheme="majorEastAsia"/>
          <w:bCs/>
          <w:sz w:val="24"/>
          <w:szCs w:val="24"/>
          <w:lang w:eastAsia="zh-CN"/>
        </w:rPr>
      </w:pPr>
      <w:r>
        <w:rPr>
          <w:rFonts w:hint="eastAsia" w:asciiTheme="majorEastAsia" w:hAnsiTheme="majorEastAsia" w:eastAsiaTheme="majorEastAsia"/>
          <w:sz w:val="24"/>
          <w:szCs w:val="24"/>
          <w:lang w:eastAsia="zh-CN"/>
        </w:rPr>
        <w:t>3.参比人</w:t>
      </w:r>
      <w:r>
        <w:rPr>
          <w:rFonts w:hint="eastAsia" w:asciiTheme="majorEastAsia" w:hAnsiTheme="majorEastAsia" w:eastAsiaTheme="majorEastAsia"/>
          <w:bCs/>
          <w:sz w:val="24"/>
          <w:szCs w:val="24"/>
          <w:lang w:eastAsia="zh-CN"/>
        </w:rPr>
        <w:t>项目技术负责人具有一级注册消防工程师资格，</w:t>
      </w:r>
      <w:r>
        <w:rPr>
          <w:rFonts w:hint="eastAsia" w:asciiTheme="majorEastAsia" w:hAnsiTheme="majorEastAsia" w:eastAsiaTheme="majorEastAsia"/>
          <w:sz w:val="24"/>
          <w:szCs w:val="24"/>
          <w:lang w:eastAsia="zh-CN"/>
        </w:rPr>
        <w:t>且具有机电、电气自动化、给排水、暖通等专业任意一项的中级及以上职称，并提供相应人员证书及至少一年的本单位社保证明；</w:t>
      </w:r>
    </w:p>
    <w:p w14:paraId="12D06748">
      <w:pPr>
        <w:pStyle w:val="54"/>
        <w:adjustRightInd/>
        <w:spacing w:line="440" w:lineRule="exact"/>
        <w:jc w:val="left"/>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 </w:t>
      </w:r>
      <w:r>
        <w:rPr>
          <w:rFonts w:asciiTheme="majorEastAsia" w:hAnsiTheme="majorEastAsia" w:eastAsiaTheme="majorEastAsia"/>
          <w:sz w:val="24"/>
          <w:szCs w:val="24"/>
        </w:rPr>
        <w:t xml:space="preserve">   4.</w:t>
      </w:r>
      <w:r>
        <w:rPr>
          <w:rFonts w:hint="eastAsia" w:asciiTheme="majorEastAsia" w:hAnsiTheme="majorEastAsia" w:eastAsiaTheme="majorEastAsia"/>
          <w:sz w:val="24"/>
          <w:szCs w:val="24"/>
        </w:rPr>
        <w:t>参比人</w:t>
      </w:r>
      <w:r>
        <w:rPr>
          <w:rFonts w:hint="eastAsia" w:asciiTheme="majorEastAsia" w:hAnsiTheme="majorEastAsia" w:eastAsiaTheme="majorEastAsia"/>
          <w:snapToGrid w:val="0"/>
          <w:sz w:val="24"/>
          <w:szCs w:val="24"/>
        </w:rPr>
        <w:t>提供近三年的评估业绩，至少包含一个石化行业项目的消防安全评估业绩，（需提供业绩合同复印件加盖公章）；</w:t>
      </w:r>
    </w:p>
    <w:p w14:paraId="18E50633">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5</w:t>
      </w:r>
      <w:r>
        <w:rPr>
          <w:rFonts w:asciiTheme="majorEastAsia" w:hAnsiTheme="majorEastAsia" w:eastAsiaTheme="majorEastAsia"/>
          <w:sz w:val="24"/>
          <w:szCs w:val="24"/>
          <w:lang w:eastAsia="zh-CN"/>
        </w:rPr>
        <w:t>.</w:t>
      </w:r>
      <w:r>
        <w:rPr>
          <w:rFonts w:hint="eastAsia" w:asciiTheme="majorEastAsia" w:hAnsiTheme="majorEastAsia" w:eastAsiaTheme="majorEastAsia"/>
          <w:snapToGrid w:val="0"/>
          <w:sz w:val="24"/>
          <w:szCs w:val="24"/>
          <w:lang w:eastAsia="zh-CN"/>
        </w:rPr>
        <w:t>参比人</w:t>
      </w:r>
      <w:r>
        <w:rPr>
          <w:rFonts w:hint="eastAsia" w:asciiTheme="majorEastAsia" w:hAnsiTheme="majorEastAsia" w:eastAsiaTheme="majorEastAsia"/>
          <w:sz w:val="24"/>
          <w:szCs w:val="24"/>
          <w:lang w:eastAsia="zh-CN"/>
        </w:rPr>
        <w:t>根据评估内容及工作量配备现场评估人员，现场人员数量不少于四人，且持有一级注册消防工程师资格证，并提供相应证书及本单位社保证明；</w:t>
      </w:r>
    </w:p>
    <w:p w14:paraId="2F7D3DE3">
      <w:pPr>
        <w:widowControl/>
        <w:autoSpaceDE/>
        <w:autoSpaceDN/>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6</w:t>
      </w:r>
      <w:r>
        <w:rPr>
          <w:rFonts w:asciiTheme="majorEastAsia" w:hAnsiTheme="majorEastAsia" w:eastAsiaTheme="majorEastAsia"/>
          <w:sz w:val="24"/>
          <w:szCs w:val="24"/>
          <w:lang w:eastAsia="zh-CN"/>
        </w:rPr>
        <w:t>.没有失信黑名单记录（以最高院失信被执行人系统发布信息为准）；</w:t>
      </w:r>
    </w:p>
    <w:p w14:paraId="58290313">
      <w:pPr>
        <w:pStyle w:val="54"/>
        <w:adjustRightInd/>
        <w:spacing w:line="440" w:lineRule="exact"/>
        <w:ind w:firstLine="480" w:firstLineChars="200"/>
        <w:jc w:val="left"/>
        <w:rPr>
          <w:rFonts w:asciiTheme="majorEastAsia" w:hAnsiTheme="majorEastAsia" w:eastAsiaTheme="majorEastAsia"/>
          <w:sz w:val="24"/>
          <w:szCs w:val="24"/>
        </w:rPr>
      </w:pPr>
      <w:r>
        <w:rPr>
          <w:rFonts w:hint="eastAsia" w:asciiTheme="majorEastAsia" w:hAnsiTheme="majorEastAsia" w:eastAsiaTheme="majorEastAsia"/>
          <w:sz w:val="24"/>
          <w:szCs w:val="24"/>
        </w:rPr>
        <w:t>7</w:t>
      </w:r>
      <w:r>
        <w:rPr>
          <w:rFonts w:asciiTheme="majorEastAsia" w:hAnsiTheme="majorEastAsia" w:eastAsiaTheme="majorEastAsia"/>
          <w:sz w:val="24"/>
          <w:szCs w:val="24"/>
        </w:rPr>
        <w:t>.与</w:t>
      </w:r>
      <w:r>
        <w:rPr>
          <w:rFonts w:hint="eastAsia" w:asciiTheme="majorEastAsia" w:hAnsiTheme="majorEastAsia" w:eastAsiaTheme="majorEastAsia"/>
          <w:sz w:val="24"/>
          <w:szCs w:val="24"/>
        </w:rPr>
        <w:t>询比人</w:t>
      </w:r>
      <w:r>
        <w:rPr>
          <w:rFonts w:asciiTheme="majorEastAsia" w:hAnsiTheme="majorEastAsia" w:eastAsiaTheme="majorEastAsia"/>
          <w:sz w:val="24"/>
          <w:szCs w:val="24"/>
        </w:rPr>
        <w:t>无诉讼纠纷</w:t>
      </w:r>
      <w:r>
        <w:rPr>
          <w:rFonts w:hint="eastAsia" w:asciiTheme="majorEastAsia" w:hAnsiTheme="majorEastAsia" w:eastAsiaTheme="majorEastAsia"/>
          <w:sz w:val="24"/>
          <w:szCs w:val="24"/>
        </w:rPr>
        <w:t>。</w:t>
      </w:r>
    </w:p>
    <w:p w14:paraId="426B2605">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8</w:t>
      </w:r>
      <w:r>
        <w:rPr>
          <w:rFonts w:asciiTheme="majorEastAsia" w:hAnsiTheme="majorEastAsia" w:eastAsiaTheme="majorEastAsia"/>
          <w:sz w:val="24"/>
          <w:szCs w:val="24"/>
          <w:lang w:eastAsia="zh-CN"/>
        </w:rPr>
        <w:t>.</w:t>
      </w:r>
      <w:r>
        <w:rPr>
          <w:rFonts w:hint="eastAsia" w:asciiTheme="majorEastAsia" w:hAnsiTheme="majorEastAsia" w:eastAsiaTheme="majorEastAsia"/>
          <w:sz w:val="24"/>
          <w:szCs w:val="24"/>
          <w:lang w:eastAsia="zh-CN"/>
        </w:rPr>
        <w:t>本项目不接受联合体参选，不允许分包。</w:t>
      </w:r>
    </w:p>
    <w:p w14:paraId="202869E5">
      <w:pPr>
        <w:pStyle w:val="2"/>
        <w:spacing w:line="440" w:lineRule="exact"/>
        <w:ind w:left="0" w:firstLine="480" w:firstLineChars="200"/>
        <w:rPr>
          <w:rFonts w:asciiTheme="majorEastAsia" w:hAnsiTheme="majorEastAsia" w:eastAsiaTheme="majorEastAsia"/>
          <w:b w:val="0"/>
          <w:sz w:val="24"/>
          <w:szCs w:val="24"/>
          <w:lang w:eastAsia="zh-CN"/>
        </w:rPr>
      </w:pPr>
      <w:r>
        <w:rPr>
          <w:rFonts w:hint="eastAsia" w:asciiTheme="majorEastAsia" w:hAnsiTheme="majorEastAsia" w:eastAsiaTheme="majorEastAsia"/>
          <w:b w:val="0"/>
          <w:sz w:val="24"/>
          <w:szCs w:val="24"/>
          <w:lang w:eastAsia="zh-CN"/>
        </w:rPr>
        <w:t>9</w:t>
      </w:r>
      <w:r>
        <w:rPr>
          <w:rFonts w:asciiTheme="majorEastAsia" w:hAnsiTheme="majorEastAsia" w:eastAsiaTheme="majorEastAsia"/>
          <w:b w:val="0"/>
          <w:sz w:val="24"/>
          <w:szCs w:val="24"/>
          <w:lang w:eastAsia="zh-CN"/>
        </w:rPr>
        <w:t>.</w:t>
      </w:r>
      <w:r>
        <w:rPr>
          <w:rFonts w:hint="eastAsia" w:asciiTheme="majorEastAsia" w:hAnsiTheme="majorEastAsia" w:eastAsiaTheme="majorEastAsia"/>
          <w:b w:val="0"/>
          <w:sz w:val="24"/>
          <w:szCs w:val="24"/>
          <w:lang w:eastAsia="zh-CN"/>
        </w:rPr>
        <w:t>参照《单位消防安全评估》XF/T3005-2020相关规定，本项目涉及单位消防设施检测及维护保养资料的核查及评估，作为本年度消防设施维保及检测消防技术服务机构属于被评估对像，不得参加本次消防评估询比。</w:t>
      </w:r>
    </w:p>
    <w:p w14:paraId="39F8BA1B">
      <w:pPr>
        <w:pStyle w:val="2"/>
        <w:spacing w:line="440" w:lineRule="exact"/>
        <w:ind w:left="0" w:firstLine="458" w:firstLineChars="200"/>
        <w:rPr>
          <w:rFonts w:asciiTheme="majorEastAsia" w:hAnsiTheme="majorEastAsia" w:eastAsiaTheme="majorEastAsia"/>
          <w:w w:val="95"/>
          <w:sz w:val="24"/>
          <w:szCs w:val="24"/>
          <w:lang w:eastAsia="zh-CN"/>
        </w:rPr>
      </w:pPr>
      <w:r>
        <w:rPr>
          <w:rFonts w:asciiTheme="majorEastAsia" w:hAnsiTheme="majorEastAsia" w:eastAsiaTheme="majorEastAsia"/>
          <w:w w:val="95"/>
          <w:sz w:val="24"/>
          <w:szCs w:val="24"/>
          <w:lang w:eastAsia="zh-CN"/>
        </w:rPr>
        <w:t>七、参选保证金</w:t>
      </w:r>
    </w:p>
    <w:p w14:paraId="76CF8D0C">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1、参选保证金的金额为：人民币</w:t>
      </w:r>
      <w:r>
        <w:rPr>
          <w:rFonts w:hint="eastAsia" w:cs="Arial" w:asciiTheme="majorEastAsia" w:hAnsiTheme="majorEastAsia" w:eastAsiaTheme="majorEastAsia"/>
          <w:color w:val="333333"/>
          <w:sz w:val="24"/>
          <w:szCs w:val="24"/>
          <w:lang w:val="en-US" w:eastAsia="zh-CN"/>
        </w:rPr>
        <w:t>叁仟陆佰元</w:t>
      </w:r>
      <w:r>
        <w:rPr>
          <w:rFonts w:hint="eastAsia" w:cs="Arial" w:asciiTheme="majorEastAsia" w:hAnsiTheme="majorEastAsia" w:eastAsiaTheme="majorEastAsia"/>
          <w:color w:val="333333"/>
          <w:sz w:val="24"/>
          <w:szCs w:val="24"/>
          <w:lang w:eastAsia="zh-CN"/>
        </w:rPr>
        <w:t>整（￥3600.00元）；</w:t>
      </w:r>
    </w:p>
    <w:p w14:paraId="282837C7">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2、参选保证金提交的时间：应在参选文件递交截止时间之前汇达指定账户；</w:t>
      </w:r>
    </w:p>
    <w:p w14:paraId="5A98911A">
      <w:pPr>
        <w:widowControl/>
        <w:autoSpaceDE/>
        <w:autoSpaceDN/>
        <w:spacing w:line="440" w:lineRule="exact"/>
        <w:ind w:right="-381" w:rightChars="-173"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3、参选保证金提交的方式：</w:t>
      </w:r>
      <w:r>
        <w:rPr>
          <w:rFonts w:hint="eastAsia" w:cs="Arial" w:asciiTheme="majorEastAsia" w:hAnsiTheme="majorEastAsia" w:eastAsiaTheme="majorEastAsia"/>
          <w:color w:val="333333"/>
          <w:sz w:val="24"/>
          <w:szCs w:val="24"/>
          <w:u w:val="single"/>
          <w:lang w:eastAsia="zh-CN"/>
        </w:rPr>
        <w:t>应从参比人基本账户以电汇或银行转账方式提交（以款项到达时间为准），并应在电汇或银行转账单上注明为本项目的参选保证金；</w:t>
      </w:r>
    </w:p>
    <w:p w14:paraId="122455D8">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4、参选保证金指定账户：</w:t>
      </w:r>
    </w:p>
    <w:p w14:paraId="32D16930">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开户名称：福建福海创石油化工有限公司 </w:t>
      </w:r>
    </w:p>
    <w:p w14:paraId="124515CF">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开户银行：</w:t>
      </w:r>
      <w:r>
        <w:rPr>
          <w:rFonts w:hint="eastAsia" w:asciiTheme="majorEastAsia" w:hAnsiTheme="majorEastAsia" w:eastAsiaTheme="majorEastAsia"/>
          <w:sz w:val="24"/>
          <w:szCs w:val="24"/>
          <w:lang w:eastAsia="zh-CN"/>
        </w:rPr>
        <w:t>中国银行漳州古雷经济开发区支行</w:t>
      </w:r>
    </w:p>
    <w:p w14:paraId="6F97C3BC">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帐   号：</w:t>
      </w:r>
      <w:r>
        <w:rPr>
          <w:rFonts w:hint="eastAsia" w:asciiTheme="majorEastAsia" w:hAnsiTheme="majorEastAsia" w:eastAsiaTheme="majorEastAsia"/>
          <w:sz w:val="24"/>
          <w:szCs w:val="24"/>
          <w:lang w:eastAsia="zh-CN"/>
        </w:rPr>
        <w:t>406574816628</w:t>
      </w:r>
    </w:p>
    <w:p w14:paraId="1BF83D5E">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注明用途：</w:t>
      </w:r>
      <w:r>
        <w:rPr>
          <w:rFonts w:hint="eastAsia" w:asciiTheme="majorEastAsia" w:hAnsiTheme="majorEastAsia" w:eastAsiaTheme="majorEastAsia"/>
          <w:b/>
          <w:bCs/>
          <w:sz w:val="24"/>
          <w:szCs w:val="24"/>
          <w:lang w:eastAsia="zh-CN"/>
        </w:rPr>
        <w:t>消防安全评估</w:t>
      </w:r>
      <w:r>
        <w:rPr>
          <w:rFonts w:hint="eastAsia" w:asciiTheme="majorEastAsia" w:hAnsiTheme="majorEastAsia" w:eastAsiaTheme="majorEastAsia"/>
          <w:b/>
          <w:sz w:val="24"/>
          <w:szCs w:val="24"/>
          <w:lang w:eastAsia="zh-CN"/>
        </w:rPr>
        <w:t>项目</w:t>
      </w:r>
      <w:r>
        <w:rPr>
          <w:rFonts w:hint="eastAsia" w:cs="Arial" w:asciiTheme="majorEastAsia" w:hAnsiTheme="majorEastAsia" w:eastAsiaTheme="majorEastAsia"/>
          <w:b/>
          <w:color w:val="333333"/>
          <w:sz w:val="24"/>
          <w:szCs w:val="24"/>
          <w:lang w:eastAsia="zh-CN"/>
        </w:rPr>
        <w:t>参选保证金</w:t>
      </w:r>
    </w:p>
    <w:p w14:paraId="0FF9AD58">
      <w:pPr>
        <w:widowControl/>
        <w:autoSpaceDE/>
        <w:autoSpaceDN/>
        <w:spacing w:line="440" w:lineRule="exact"/>
        <w:ind w:firstLine="480"/>
        <w:rPr>
          <w:rFonts w:cs="Arial" w:asciiTheme="majorEastAsia" w:hAnsiTheme="majorEastAsia" w:eastAsiaTheme="majorEastAsia"/>
          <w:color w:val="333333"/>
          <w:sz w:val="24"/>
          <w:szCs w:val="24"/>
          <w:lang w:eastAsia="zh-CN"/>
        </w:rPr>
      </w:pPr>
      <w:r>
        <w:rPr>
          <w:rFonts w:hint="eastAsia" w:cs="Arial" w:asciiTheme="majorEastAsia" w:hAnsiTheme="majorEastAsia" w:eastAsiaTheme="majorEastAsia"/>
          <w:color w:val="333333"/>
          <w:sz w:val="24"/>
          <w:szCs w:val="24"/>
          <w:lang w:eastAsia="zh-CN"/>
        </w:rPr>
        <w:t>参选保证金有效期：90日历天。</w:t>
      </w:r>
    </w:p>
    <w:p w14:paraId="604C287A">
      <w:pPr>
        <w:widowControl/>
        <w:autoSpaceDE/>
        <w:autoSpaceDN/>
        <w:spacing w:line="440" w:lineRule="exact"/>
        <w:ind w:firstLine="480"/>
        <w:rPr>
          <w:rFonts w:cs="Arial" w:asciiTheme="majorEastAsia" w:hAnsiTheme="majorEastAsia" w:eastAsiaTheme="majorEastAsia"/>
          <w:color w:val="333333"/>
          <w:sz w:val="24"/>
          <w:szCs w:val="24"/>
          <w:u w:val="single"/>
          <w:lang w:eastAsia="zh-CN"/>
        </w:rPr>
      </w:pPr>
      <w:r>
        <w:rPr>
          <w:rFonts w:hint="eastAsia" w:cs="Arial" w:asciiTheme="majorEastAsia" w:hAnsiTheme="majorEastAsia" w:eastAsiaTheme="majorEastAsia"/>
          <w:color w:val="333333"/>
          <w:sz w:val="24"/>
          <w:szCs w:val="24"/>
          <w:u w:val="single"/>
          <w:lang w:eastAsia="zh-CN"/>
        </w:rPr>
        <w:t>注：开户许可证上账号应与参选保证金转账回单上账号一致，否则视为未按规定提交参选保证金,所造成的一切后果由参比人自行负责。</w:t>
      </w:r>
      <w:r>
        <w:rPr>
          <w:rFonts w:hint="eastAsia" w:asciiTheme="majorEastAsia" w:hAnsiTheme="majorEastAsia" w:eastAsiaTheme="majorEastAsia"/>
          <w:sz w:val="24"/>
          <w:szCs w:val="24"/>
          <w:u w:val="single"/>
          <w:lang w:eastAsia="zh-CN"/>
        </w:rPr>
        <w:t>参选保证金转入后，将相关凭证放在商务询比文件中。</w:t>
      </w:r>
    </w:p>
    <w:p w14:paraId="17A75966">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5.对于未能按要求提交保证金的参选文件，询比单位可以视为不符合上面询比要求而予以拒绝；</w:t>
      </w:r>
    </w:p>
    <w:p w14:paraId="3BB69FD4">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6.</w:t>
      </w:r>
      <w:r>
        <w:rPr>
          <w:rFonts w:hint="eastAsia" w:asciiTheme="majorEastAsia" w:hAnsiTheme="majorEastAsia" w:eastAsiaTheme="majorEastAsia"/>
          <w:spacing w:val="8"/>
          <w:lang w:eastAsia="zh-CN"/>
        </w:rPr>
        <w:t xml:space="preserve"> 本项目询比结束后，未中选的参比人其所递交的参选保证金将于本项目合同签订后退回至参比人</w:t>
      </w:r>
      <w:r>
        <w:rPr>
          <w:rFonts w:hint="eastAsia" w:asciiTheme="majorEastAsia" w:hAnsiTheme="majorEastAsia" w:eastAsiaTheme="majorEastAsia"/>
          <w:lang w:eastAsia="zh-CN"/>
        </w:rPr>
        <w:t>基本账户</w:t>
      </w:r>
      <w:r>
        <w:rPr>
          <w:rFonts w:hint="eastAsia" w:asciiTheme="majorEastAsia" w:hAnsiTheme="majorEastAsia" w:eastAsiaTheme="majorEastAsia"/>
          <w:spacing w:val="8"/>
          <w:lang w:eastAsia="zh-CN"/>
        </w:rPr>
        <w:t>（无息）</w:t>
      </w:r>
      <w:r>
        <w:rPr>
          <w:rFonts w:hint="eastAsia" w:asciiTheme="majorEastAsia" w:hAnsiTheme="majorEastAsia" w:eastAsiaTheme="majorEastAsia"/>
          <w:lang w:eastAsia="zh-CN"/>
        </w:rPr>
        <w:t>，最迟不超过规定的询比有效期满后的20天；</w:t>
      </w:r>
    </w:p>
    <w:p w14:paraId="5796655A">
      <w:pPr>
        <w:pStyle w:val="19"/>
        <w:spacing w:line="440" w:lineRule="exact"/>
        <w:ind w:firstLine="480" w:firstLineChars="200"/>
        <w:rPr>
          <w:rFonts w:asciiTheme="majorEastAsia" w:hAnsiTheme="majorEastAsia" w:eastAsiaTheme="majorEastAsia"/>
          <w:color w:val="000000" w:themeColor="text1"/>
          <w:lang w:eastAsia="zh-CN"/>
          <w14:textFill>
            <w14:solidFill>
              <w14:schemeClr w14:val="tx1"/>
            </w14:solidFill>
          </w14:textFill>
        </w:rPr>
      </w:pPr>
      <w:r>
        <w:rPr>
          <w:rFonts w:hint="eastAsia" w:asciiTheme="majorEastAsia" w:hAnsiTheme="majorEastAsia" w:eastAsiaTheme="majorEastAsia"/>
          <w:lang w:eastAsia="zh-CN"/>
        </w:rPr>
        <w:t>7.中选者的参选保证金（无息），将在合同签订后自动转为履约保证金，将于合同周期完成后1</w:t>
      </w:r>
      <w:r>
        <w:rPr>
          <w:rFonts w:asciiTheme="majorEastAsia" w:hAnsiTheme="majorEastAsia" w:eastAsiaTheme="majorEastAsia"/>
          <w:lang w:eastAsia="zh-CN"/>
        </w:rPr>
        <w:t>5</w:t>
      </w:r>
      <w:r>
        <w:rPr>
          <w:rFonts w:hint="eastAsia" w:asciiTheme="majorEastAsia" w:hAnsiTheme="majorEastAsia" w:eastAsiaTheme="majorEastAsia"/>
          <w:lang w:eastAsia="zh-CN"/>
        </w:rPr>
        <w:t>个工作日内，甲方无息退还履约保证金；</w:t>
      </w:r>
    </w:p>
    <w:p w14:paraId="796AF156">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8.如有下列情况发生，将被没收参选保证金：</w:t>
      </w:r>
    </w:p>
    <w:p w14:paraId="12FA6EDE">
      <w:pPr>
        <w:pStyle w:val="19"/>
        <w:spacing w:line="440" w:lineRule="exact"/>
        <w:rPr>
          <w:rFonts w:asciiTheme="majorEastAsia" w:hAnsiTheme="majorEastAsia" w:eastAsiaTheme="majorEastAsia"/>
          <w:lang w:eastAsia="zh-CN"/>
        </w:rPr>
      </w:pPr>
      <w:r>
        <w:rPr>
          <w:rFonts w:hint="eastAsia" w:asciiTheme="majorEastAsia" w:hAnsiTheme="majorEastAsia" w:eastAsiaTheme="majorEastAsia"/>
          <w:lang w:eastAsia="zh-CN"/>
        </w:rPr>
        <w:t xml:space="preserve">  （1）参选单位在参选有效期内撤销参选；</w:t>
      </w:r>
    </w:p>
    <w:p w14:paraId="6B8B3A57">
      <w:pPr>
        <w:pStyle w:val="2"/>
        <w:spacing w:line="440" w:lineRule="exact"/>
        <w:ind w:left="0" w:firstLine="240" w:firstLineChars="100"/>
        <w:rPr>
          <w:rFonts w:asciiTheme="majorEastAsia" w:hAnsiTheme="majorEastAsia" w:eastAsiaTheme="majorEastAsia"/>
          <w:b w:val="0"/>
          <w:sz w:val="24"/>
          <w:szCs w:val="24"/>
          <w:lang w:eastAsia="zh-CN"/>
        </w:rPr>
      </w:pPr>
      <w:r>
        <w:rPr>
          <w:rFonts w:hint="eastAsia" w:asciiTheme="majorEastAsia" w:hAnsiTheme="majorEastAsia" w:eastAsiaTheme="majorEastAsia"/>
          <w:b w:val="0"/>
          <w:sz w:val="24"/>
          <w:szCs w:val="24"/>
          <w:lang w:eastAsia="zh-CN"/>
        </w:rPr>
        <w:t>（2）参选单位未能按接到中标通知书后规定的时间内签定合同。</w:t>
      </w:r>
    </w:p>
    <w:p w14:paraId="4E03B07A">
      <w:pPr>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w:t>
      </w: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3</w:t>
      </w:r>
      <w:r>
        <w:rPr>
          <w:rFonts w:asciiTheme="majorEastAsia" w:hAnsiTheme="majorEastAsia" w:eastAsiaTheme="majorEastAsia"/>
          <w:sz w:val="24"/>
          <w:szCs w:val="24"/>
          <w:lang w:eastAsia="zh-CN"/>
        </w:rPr>
        <w:t>）以他人名义参选或以其他方式弄虚作假，骗取中选的。</w:t>
      </w:r>
    </w:p>
    <w:p w14:paraId="570BA6F6">
      <w:pPr>
        <w:pStyle w:val="2"/>
        <w:spacing w:line="440" w:lineRule="exact"/>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八、参选文件的递交</w:t>
      </w:r>
    </w:p>
    <w:p w14:paraId="5CC22B73">
      <w:pPr>
        <w:pStyle w:val="3"/>
        <w:tabs>
          <w:tab w:val="left" w:pos="6879"/>
        </w:tabs>
        <w:spacing w:line="440" w:lineRule="exact"/>
        <w:ind w:left="0" w:firstLine="480"/>
        <w:rPr>
          <w:rFonts w:asciiTheme="majorEastAsia" w:hAnsiTheme="majorEastAsia" w:eastAsiaTheme="majorEastAsia"/>
          <w:lang w:eastAsia="zh-CN"/>
        </w:rPr>
      </w:pPr>
      <w:r>
        <w:rPr>
          <w:rFonts w:asciiTheme="majorEastAsia" w:hAnsiTheme="majorEastAsia" w:eastAsiaTheme="majorEastAsia"/>
          <w:lang w:eastAsia="zh-CN"/>
        </w:rPr>
        <w:t>1.参选文件递交的截止时间：</w:t>
      </w:r>
      <w:r>
        <w:rPr>
          <w:rFonts w:hint="eastAsia" w:asciiTheme="majorEastAsia" w:hAnsiTheme="majorEastAsia" w:eastAsiaTheme="majorEastAsia"/>
          <w:lang w:eastAsia="zh-CN"/>
        </w:rPr>
        <w:t>见询比公告</w:t>
      </w:r>
    </w:p>
    <w:p w14:paraId="135F69D5">
      <w:pPr>
        <w:pStyle w:val="3"/>
        <w:tabs>
          <w:tab w:val="left" w:pos="6879"/>
        </w:tabs>
        <w:spacing w:line="440" w:lineRule="exact"/>
        <w:ind w:left="0" w:firstLine="480"/>
        <w:rPr>
          <w:rFonts w:asciiTheme="majorEastAsia" w:hAnsiTheme="majorEastAsia" w:eastAsiaTheme="majorEastAsia"/>
          <w:spacing w:val="-57"/>
          <w:lang w:eastAsia="zh-CN"/>
        </w:rPr>
      </w:pPr>
      <w:r>
        <w:rPr>
          <w:rFonts w:asciiTheme="majorEastAsia" w:hAnsiTheme="majorEastAsia" w:eastAsiaTheme="majorEastAsia"/>
          <w:lang w:eastAsia="zh-CN"/>
        </w:rPr>
        <w:t>2.</w:t>
      </w:r>
      <w:r>
        <w:rPr>
          <w:rFonts w:asciiTheme="majorEastAsia" w:hAnsiTheme="majorEastAsia" w:eastAsiaTheme="majorEastAsia"/>
          <w:spacing w:val="4"/>
          <w:lang w:eastAsia="zh-CN"/>
        </w:rPr>
        <w:t>递交</w:t>
      </w:r>
      <w:r>
        <w:rPr>
          <w:rFonts w:asciiTheme="majorEastAsia" w:hAnsiTheme="majorEastAsia" w:eastAsiaTheme="majorEastAsia"/>
          <w:lang w:eastAsia="zh-CN"/>
        </w:rPr>
        <w:t>参</w:t>
      </w:r>
      <w:r>
        <w:rPr>
          <w:rFonts w:asciiTheme="majorEastAsia" w:hAnsiTheme="majorEastAsia" w:eastAsiaTheme="majorEastAsia"/>
          <w:spacing w:val="4"/>
          <w:lang w:eastAsia="zh-CN"/>
        </w:rPr>
        <w:t>选文件的地</w:t>
      </w:r>
      <w:r>
        <w:rPr>
          <w:rFonts w:asciiTheme="majorEastAsia" w:hAnsiTheme="majorEastAsia" w:eastAsiaTheme="majorEastAsia"/>
          <w:lang w:eastAsia="zh-CN"/>
        </w:rPr>
        <w:t>点</w:t>
      </w:r>
      <w:r>
        <w:rPr>
          <w:rFonts w:asciiTheme="majorEastAsia" w:hAnsiTheme="majorEastAsia" w:eastAsiaTheme="majorEastAsia"/>
          <w:spacing w:val="4"/>
          <w:lang w:eastAsia="zh-CN"/>
        </w:rPr>
        <w:t>为：</w:t>
      </w:r>
      <w:r>
        <w:rPr>
          <w:rFonts w:hint="eastAsia" w:asciiTheme="majorEastAsia" w:hAnsiTheme="majorEastAsia" w:eastAsiaTheme="majorEastAsia"/>
          <w:spacing w:val="4"/>
          <w:lang w:eastAsia="zh-CN"/>
        </w:rPr>
        <w:t>福建福海创石油化工有限公司办公楼</w:t>
      </w:r>
      <w:r>
        <w:rPr>
          <w:rFonts w:asciiTheme="majorEastAsia" w:hAnsiTheme="majorEastAsia" w:eastAsiaTheme="majorEastAsia"/>
          <w:spacing w:val="4"/>
          <w:lang w:eastAsia="zh-CN"/>
        </w:rPr>
        <w:t>（</w:t>
      </w:r>
      <w:r>
        <w:rPr>
          <w:rFonts w:hint="eastAsia" w:asciiTheme="majorEastAsia" w:hAnsiTheme="majorEastAsia" w:eastAsiaTheme="majorEastAsia"/>
          <w:lang w:eastAsia="zh-CN"/>
        </w:rPr>
        <w:t>福建省漳州市古雷开发区纵四路西侧福化古雷运营中心17楼</w:t>
      </w:r>
      <w:r>
        <w:rPr>
          <w:rFonts w:asciiTheme="majorEastAsia" w:hAnsiTheme="majorEastAsia" w:eastAsiaTheme="majorEastAsia"/>
          <w:spacing w:val="4"/>
          <w:lang w:eastAsia="zh-CN"/>
        </w:rPr>
        <w:t>）</w:t>
      </w:r>
    </w:p>
    <w:p w14:paraId="722598BD">
      <w:pPr>
        <w:pStyle w:val="3"/>
        <w:tabs>
          <w:tab w:val="left" w:pos="6879"/>
        </w:tabs>
        <w:spacing w:line="440" w:lineRule="exact"/>
        <w:ind w:left="0" w:firstLine="480"/>
        <w:rPr>
          <w:rFonts w:asciiTheme="majorEastAsia" w:hAnsiTheme="majorEastAsia" w:eastAsiaTheme="majorEastAsia"/>
          <w:spacing w:val="-4"/>
          <w:lang w:eastAsia="zh-CN"/>
        </w:rPr>
      </w:pPr>
      <w:r>
        <w:rPr>
          <w:rFonts w:asciiTheme="majorEastAsia" w:hAnsiTheme="majorEastAsia" w:eastAsiaTheme="majorEastAsia"/>
          <w:lang w:eastAsia="zh-CN"/>
        </w:rPr>
        <w:t>联系人</w:t>
      </w:r>
      <w:r>
        <w:rPr>
          <w:rFonts w:asciiTheme="majorEastAsia" w:hAnsiTheme="majorEastAsia" w:eastAsiaTheme="majorEastAsia"/>
          <w:spacing w:val="-56"/>
          <w:lang w:eastAsia="zh-CN"/>
        </w:rPr>
        <w:t>：</w:t>
      </w:r>
      <w:r>
        <w:rPr>
          <w:rFonts w:hint="eastAsia" w:asciiTheme="majorEastAsia" w:hAnsiTheme="majorEastAsia" w:eastAsiaTheme="majorEastAsia"/>
          <w:lang w:eastAsia="zh-CN"/>
        </w:rPr>
        <w:t xml:space="preserve">黄梅钦 </w:t>
      </w:r>
      <w:r>
        <w:rPr>
          <w:rFonts w:asciiTheme="majorEastAsia" w:hAnsiTheme="majorEastAsia" w:eastAsiaTheme="majorEastAsia"/>
          <w:spacing w:val="-6"/>
          <w:lang w:eastAsia="zh-CN"/>
        </w:rPr>
        <w:t xml:space="preserve"> </w:t>
      </w:r>
      <w:r>
        <w:rPr>
          <w:rFonts w:asciiTheme="majorEastAsia" w:hAnsiTheme="majorEastAsia" w:eastAsiaTheme="majorEastAsia"/>
          <w:lang w:eastAsia="zh-CN"/>
        </w:rPr>
        <w:t>联系电话</w:t>
      </w:r>
      <w:r>
        <w:rPr>
          <w:rFonts w:asciiTheme="majorEastAsia" w:hAnsiTheme="majorEastAsia" w:eastAsiaTheme="majorEastAsia"/>
          <w:spacing w:val="-4"/>
          <w:lang w:eastAsia="zh-CN"/>
        </w:rPr>
        <w:t>：</w:t>
      </w:r>
      <w:r>
        <w:rPr>
          <w:rFonts w:hint="eastAsia" w:asciiTheme="majorEastAsia" w:hAnsiTheme="majorEastAsia" w:eastAsiaTheme="majorEastAsia"/>
          <w:spacing w:val="-4"/>
          <w:lang w:eastAsia="zh-CN"/>
        </w:rPr>
        <w:t>13806001925</w:t>
      </w:r>
    </w:p>
    <w:p w14:paraId="6088F8C6">
      <w:pPr>
        <w:pStyle w:val="3"/>
        <w:tabs>
          <w:tab w:val="left" w:pos="6879"/>
        </w:tabs>
        <w:spacing w:line="440" w:lineRule="exact"/>
        <w:ind w:left="0" w:right="-97" w:rightChars="-44" w:firstLine="480"/>
        <w:rPr>
          <w:rFonts w:asciiTheme="majorEastAsia" w:hAnsiTheme="majorEastAsia" w:eastAsiaTheme="majorEastAsia"/>
          <w:lang w:eastAsia="zh-CN"/>
        </w:rPr>
      </w:pPr>
      <w:r>
        <w:rPr>
          <w:rFonts w:asciiTheme="majorEastAsia" w:hAnsiTheme="majorEastAsia" w:eastAsiaTheme="majorEastAsia"/>
          <w:lang w:eastAsia="zh-CN"/>
        </w:rPr>
        <w:t>注：</w:t>
      </w:r>
      <w:r>
        <w:rPr>
          <w:rFonts w:asciiTheme="majorEastAsia" w:hAnsiTheme="majorEastAsia" w:eastAsiaTheme="majorEastAsia"/>
          <w:highlight w:val="yellow"/>
          <w:lang w:eastAsia="zh-CN"/>
        </w:rPr>
        <w:t>请使用顺丰快递或中国邮政 EMS 快递，其他快递不能保证送达目的地。</w:t>
      </w:r>
    </w:p>
    <w:p w14:paraId="20A81CD6">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3.只允许</w:t>
      </w:r>
      <w:r>
        <w:rPr>
          <w:rFonts w:hint="eastAsia" w:asciiTheme="majorEastAsia" w:hAnsiTheme="majorEastAsia" w:eastAsiaTheme="majorEastAsia"/>
          <w:lang w:eastAsia="zh-CN"/>
        </w:rPr>
        <w:t>参比人</w:t>
      </w:r>
      <w:r>
        <w:rPr>
          <w:rFonts w:asciiTheme="majorEastAsia" w:hAnsiTheme="majorEastAsia" w:eastAsiaTheme="majorEastAsia"/>
          <w:lang w:eastAsia="zh-CN"/>
        </w:rPr>
        <w:t>有一个参选方案，否则将被视为无效参选。</w:t>
      </w:r>
    </w:p>
    <w:p w14:paraId="4B89D3DA">
      <w:pPr>
        <w:pStyle w:val="19"/>
        <w:spacing w:line="440" w:lineRule="exact"/>
        <w:ind w:right="-238" w:rightChars="-108" w:firstLine="480"/>
        <w:rPr>
          <w:rFonts w:asciiTheme="majorEastAsia" w:hAnsiTheme="majorEastAsia" w:eastAsiaTheme="majorEastAsia"/>
          <w:lang w:eastAsia="zh-CN"/>
        </w:rPr>
      </w:pPr>
      <w:r>
        <w:rPr>
          <w:rFonts w:asciiTheme="majorEastAsia" w:hAnsiTheme="majorEastAsia" w:eastAsiaTheme="majorEastAsia"/>
          <w:lang w:eastAsia="zh-CN"/>
        </w:rPr>
        <w:t>4.</w:t>
      </w:r>
      <w:r>
        <w:rPr>
          <w:rFonts w:asciiTheme="majorEastAsia" w:hAnsiTheme="majorEastAsia" w:eastAsiaTheme="majorEastAsia"/>
          <w:spacing w:val="-4"/>
          <w:lang w:eastAsia="zh-CN"/>
        </w:rPr>
        <w:t>逾期送达的或未送达指定地点或参选文件密封不符合规定要求的参选文件，询比人不予受理。</w:t>
      </w:r>
      <w:r>
        <w:rPr>
          <w:rFonts w:hint="eastAsia" w:asciiTheme="majorEastAsia" w:hAnsiTheme="majorEastAsia" w:eastAsiaTheme="majorEastAsia"/>
          <w:spacing w:val="-4"/>
          <w:lang w:eastAsia="zh-CN"/>
        </w:rPr>
        <w:t>参比人</w:t>
      </w:r>
      <w:r>
        <w:rPr>
          <w:rFonts w:asciiTheme="majorEastAsia" w:hAnsiTheme="majorEastAsia" w:eastAsiaTheme="majorEastAsia"/>
          <w:spacing w:val="-4"/>
          <w:lang w:eastAsia="zh-CN"/>
        </w:rPr>
        <w:t>所提交的询比文件在评选结束后，无论中选与否都不退还。</w:t>
      </w:r>
    </w:p>
    <w:p w14:paraId="17EDDF40">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5.</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收到询比文件后，如有疑问需要澄清，请以书面形式在规定时间内报询比人汇总。</w:t>
      </w:r>
    </w:p>
    <w:p w14:paraId="029EBDE4">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6.</w:t>
      </w:r>
      <w:r>
        <w:rPr>
          <w:rFonts w:hint="eastAsia" w:asciiTheme="majorEastAsia" w:hAnsiTheme="majorEastAsia" w:eastAsiaTheme="majorEastAsia"/>
          <w:spacing w:val="-6"/>
          <w:lang w:eastAsia="zh-CN"/>
        </w:rPr>
        <w:t>参比人</w:t>
      </w:r>
      <w:r>
        <w:rPr>
          <w:rFonts w:asciiTheme="majorEastAsia" w:hAnsiTheme="majorEastAsia" w:eastAsiaTheme="majorEastAsia"/>
          <w:spacing w:val="-6"/>
          <w:lang w:eastAsia="zh-CN"/>
        </w:rPr>
        <w:t>对询比人提供的询比文件所做出的推论、解释和结论，询比人概不负责。</w:t>
      </w:r>
      <w:r>
        <w:rPr>
          <w:rFonts w:hint="eastAsia" w:asciiTheme="majorEastAsia" w:hAnsiTheme="majorEastAsia" w:eastAsiaTheme="majorEastAsia"/>
          <w:spacing w:val="-6"/>
          <w:lang w:eastAsia="zh-CN"/>
        </w:rPr>
        <w:t>参比人</w:t>
      </w:r>
      <w:r>
        <w:rPr>
          <w:rFonts w:asciiTheme="majorEastAsia" w:hAnsiTheme="majorEastAsia" w:eastAsiaTheme="majorEastAsia"/>
          <w:spacing w:val="-9"/>
          <w:lang w:eastAsia="zh-CN"/>
        </w:rPr>
        <w:t>由于对询比文件的任何推论和误解以及询比对有关问题的口头解释所造成的后果，均由</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负责。</w:t>
      </w:r>
    </w:p>
    <w:p w14:paraId="3FE2B380">
      <w:pPr>
        <w:pStyle w:val="2"/>
        <w:spacing w:line="440" w:lineRule="exact"/>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九</w:t>
      </w:r>
      <w:r>
        <w:rPr>
          <w:rFonts w:asciiTheme="majorEastAsia" w:hAnsiTheme="majorEastAsia" w:eastAsiaTheme="majorEastAsia"/>
          <w:w w:val="95"/>
          <w:sz w:val="24"/>
          <w:szCs w:val="24"/>
          <w:lang w:eastAsia="zh-CN"/>
        </w:rPr>
        <w:t>、</w:t>
      </w:r>
      <w:r>
        <w:rPr>
          <w:rFonts w:hint="eastAsia" w:asciiTheme="majorEastAsia" w:hAnsiTheme="majorEastAsia" w:eastAsiaTheme="majorEastAsia"/>
          <w:w w:val="95"/>
          <w:sz w:val="24"/>
          <w:szCs w:val="24"/>
          <w:lang w:eastAsia="zh-CN"/>
        </w:rPr>
        <w:t>异议</w:t>
      </w:r>
    </w:p>
    <w:p w14:paraId="6013C611">
      <w:pPr>
        <w:pStyle w:val="24"/>
        <w:tabs>
          <w:tab w:val="left" w:pos="0"/>
          <w:tab w:val="left" w:pos="567"/>
          <w:tab w:val="left" w:pos="993"/>
          <w:tab w:val="left" w:pos="1135"/>
        </w:tabs>
        <w:spacing w:line="440" w:lineRule="exact"/>
        <w:ind w:firstLine="482"/>
        <w:rPr>
          <w:rFonts w:cs="宋体" w:asciiTheme="majorEastAsia" w:hAnsiTheme="majorEastAsia" w:eastAsiaTheme="majorEastAsia"/>
          <w:bCs/>
          <w:sz w:val="24"/>
          <w:szCs w:val="24"/>
          <w:lang w:eastAsia="zh-CN"/>
        </w:rPr>
      </w:pPr>
      <w:r>
        <w:rPr>
          <w:rFonts w:hint="eastAsia" w:asciiTheme="majorEastAsia" w:hAnsiTheme="majorEastAsia" w:eastAsiaTheme="majorEastAsia"/>
          <w:sz w:val="24"/>
          <w:szCs w:val="24"/>
          <w:lang w:eastAsia="zh-CN"/>
        </w:rPr>
        <w:t>中选人确定后，询比人不对未中选人就询比过程及未能中选的原因做出任何解释。</w:t>
      </w:r>
    </w:p>
    <w:p w14:paraId="2F4E287B">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sz w:val="24"/>
          <w:szCs w:val="24"/>
          <w:lang w:eastAsia="zh-CN"/>
        </w:rPr>
        <w:t>潜在参比人或参比人及其他利害关系人对询比文件或询比结果有异议的，应当在规定的期限内以书面的形式向询比人提出。</w:t>
      </w:r>
      <w:r>
        <w:rPr>
          <w:rFonts w:hint="eastAsia" w:cs="宋体" w:asciiTheme="majorEastAsia" w:hAnsiTheme="majorEastAsia" w:eastAsiaTheme="majorEastAsia"/>
          <w:bCs/>
          <w:color w:val="000000"/>
          <w:sz w:val="24"/>
          <w:szCs w:val="24"/>
          <w:lang w:eastAsia="zh-CN"/>
        </w:rPr>
        <w:t>对询比文件有异议的，应当在参选截止时间5日前提出；对询比结果有异议的，应在本询比项目中标候选人公示期间提出。异议的内容应当包括下列内容：</w:t>
      </w:r>
    </w:p>
    <w:p w14:paraId="046A2384">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（1）异议人的名称、地址及有效联系方式；</w:t>
      </w:r>
    </w:p>
    <w:p w14:paraId="7E6668F2">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（2）被异议人的名称（仅适用于对询比结果的异议）；</w:t>
      </w:r>
    </w:p>
    <w:p w14:paraId="69B35EC5">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（3）异议事项的基本事实；</w:t>
      </w:r>
    </w:p>
    <w:p w14:paraId="1F5B5F97">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（4）相关请求及主张；</w:t>
      </w:r>
    </w:p>
    <w:p w14:paraId="7B267085">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 xml:space="preserve">（5）有效线索和相关证明材料。 </w:t>
      </w:r>
    </w:p>
    <w:p w14:paraId="4F0B47BB">
      <w:pPr>
        <w:pStyle w:val="24"/>
        <w:tabs>
          <w:tab w:val="left" w:pos="0"/>
          <w:tab w:val="left" w:pos="567"/>
          <w:tab w:val="left" w:pos="993"/>
          <w:tab w:val="left" w:pos="1135"/>
        </w:tabs>
        <w:spacing w:line="440" w:lineRule="exact"/>
        <w:ind w:firstLine="482"/>
        <w:rPr>
          <w:rFonts w:cs="宋体" w:asciiTheme="majorEastAsia" w:hAnsiTheme="majorEastAsia" w:eastAsiaTheme="majorEastAsia"/>
          <w:bCs/>
          <w:color w:val="000000"/>
          <w:sz w:val="24"/>
          <w:szCs w:val="24"/>
          <w:lang w:eastAsia="zh-CN"/>
        </w:rPr>
      </w:pPr>
      <w:r>
        <w:rPr>
          <w:rFonts w:hint="eastAsia" w:cs="宋体" w:asciiTheme="majorEastAsia" w:hAnsiTheme="majorEastAsia" w:eastAsiaTheme="majorEastAsia"/>
          <w:bCs/>
          <w:color w:val="000000"/>
          <w:sz w:val="24"/>
          <w:szCs w:val="24"/>
          <w:lang w:eastAsia="zh-CN"/>
        </w:rPr>
        <w:t>异议人是法人的，异议必须由其法定代表人签字并盖公章；与本询比活动有利害关系的自然人提出的，异议必须由异议人本人签字，并附有效身份证明复印件以及与本询比项目有利害关系的证明材料。</w:t>
      </w:r>
    </w:p>
    <w:p w14:paraId="28F28D6A">
      <w:pPr>
        <w:pStyle w:val="24"/>
        <w:tabs>
          <w:tab w:val="left" w:pos="0"/>
          <w:tab w:val="left" w:pos="567"/>
          <w:tab w:val="left" w:pos="993"/>
          <w:tab w:val="left" w:pos="1135"/>
        </w:tabs>
        <w:spacing w:line="440" w:lineRule="exact"/>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sz w:val="24"/>
          <w:szCs w:val="24"/>
          <w:lang w:eastAsia="zh-CN"/>
        </w:rPr>
        <w:t>有下列情形之一的异议，不予受理：</w:t>
      </w:r>
    </w:p>
    <w:p w14:paraId="6F8D4B0D">
      <w:pPr>
        <w:pStyle w:val="24"/>
        <w:tabs>
          <w:tab w:val="left" w:pos="0"/>
          <w:tab w:val="left" w:pos="567"/>
          <w:tab w:val="left" w:pos="993"/>
          <w:tab w:val="left" w:pos="1135"/>
        </w:tabs>
        <w:spacing w:line="440" w:lineRule="exact"/>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（1）</w:t>
      </w:r>
      <w:r>
        <w:rPr>
          <w:rFonts w:hint="eastAsia" w:cs="宋体" w:asciiTheme="majorEastAsia" w:hAnsiTheme="majorEastAsia" w:eastAsiaTheme="majorEastAsia"/>
          <w:bCs/>
          <w:sz w:val="24"/>
          <w:szCs w:val="24"/>
          <w:lang w:eastAsia="zh-CN"/>
        </w:rPr>
        <w:t>对询比结果有异议的异议人不是本项目参与者，或与本项目无任何利害关系；</w:t>
      </w:r>
    </w:p>
    <w:p w14:paraId="339B24BE">
      <w:pPr>
        <w:pStyle w:val="24"/>
        <w:tabs>
          <w:tab w:val="left" w:pos="0"/>
          <w:tab w:val="left" w:pos="567"/>
          <w:tab w:val="left" w:pos="993"/>
          <w:tab w:val="left" w:pos="1135"/>
        </w:tabs>
        <w:spacing w:line="440" w:lineRule="exact"/>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（2）</w:t>
      </w:r>
      <w:r>
        <w:rPr>
          <w:rFonts w:hint="eastAsia" w:cs="宋体" w:asciiTheme="majorEastAsia" w:hAnsiTheme="majorEastAsia" w:eastAsiaTheme="majorEastAsia"/>
          <w:bCs/>
          <w:sz w:val="24"/>
          <w:szCs w:val="24"/>
          <w:lang w:eastAsia="zh-CN"/>
        </w:rPr>
        <w:t xml:space="preserve">异议事项不具体，且未提供有效线索，难以查证的； </w:t>
      </w:r>
    </w:p>
    <w:p w14:paraId="3A8F741B">
      <w:pPr>
        <w:pStyle w:val="24"/>
        <w:tabs>
          <w:tab w:val="left" w:pos="0"/>
          <w:tab w:val="left" w:pos="567"/>
          <w:tab w:val="left" w:pos="993"/>
          <w:tab w:val="left" w:pos="1135"/>
        </w:tabs>
        <w:spacing w:line="440" w:lineRule="exact"/>
        <w:ind w:firstLine="482"/>
        <w:rPr>
          <w:rFonts w:cs="宋体" w:asciiTheme="majorEastAsia" w:hAnsiTheme="majorEastAsia" w:eastAsiaTheme="majorEastAsia"/>
          <w:bCs/>
          <w:sz w:val="24"/>
          <w:szCs w:val="24"/>
          <w:lang w:eastAsia="zh-CN"/>
        </w:rPr>
      </w:pPr>
      <w:r>
        <w:rPr>
          <w:rFonts w:hint="eastAsia" w:cs="宋体" w:asciiTheme="majorEastAsia" w:hAnsiTheme="majorEastAsia" w:eastAsiaTheme="majorEastAsia"/>
          <w:bCs/>
          <w:color w:val="000000"/>
          <w:sz w:val="24"/>
          <w:szCs w:val="24"/>
          <w:lang w:eastAsia="zh-CN"/>
        </w:rPr>
        <w:t>（3）</w:t>
      </w:r>
      <w:r>
        <w:rPr>
          <w:rFonts w:hint="eastAsia" w:cs="宋体" w:asciiTheme="majorEastAsia" w:hAnsiTheme="majorEastAsia" w:eastAsiaTheme="majorEastAsia"/>
          <w:bCs/>
          <w:sz w:val="24"/>
          <w:szCs w:val="24"/>
          <w:lang w:eastAsia="zh-CN"/>
        </w:rPr>
        <w:t>异议未签署异议人真实姓名、签字和有效联系方式的；以法人名义提出异议的，异议未经法定代表人签字并加盖公章的；</w:t>
      </w:r>
    </w:p>
    <w:p w14:paraId="19AADCAD">
      <w:pPr>
        <w:pStyle w:val="54"/>
        <w:adjustRightInd/>
        <w:spacing w:line="440" w:lineRule="exact"/>
        <w:ind w:firstLine="480" w:firstLineChars="200"/>
        <w:jc w:val="left"/>
        <w:rPr>
          <w:rFonts w:asciiTheme="majorEastAsia" w:hAnsiTheme="majorEastAsia" w:eastAsiaTheme="majorEastAsia"/>
          <w:bCs/>
          <w:sz w:val="24"/>
          <w:szCs w:val="24"/>
        </w:rPr>
      </w:pPr>
      <w:r>
        <w:rPr>
          <w:rFonts w:hint="eastAsia" w:asciiTheme="majorEastAsia" w:hAnsiTheme="majorEastAsia" w:eastAsiaTheme="majorEastAsia"/>
          <w:bCs/>
          <w:color w:val="000000"/>
          <w:sz w:val="24"/>
          <w:szCs w:val="24"/>
        </w:rPr>
        <w:t>（4）</w:t>
      </w:r>
      <w:r>
        <w:rPr>
          <w:rFonts w:hint="eastAsia" w:asciiTheme="majorEastAsia" w:hAnsiTheme="majorEastAsia" w:eastAsiaTheme="majorEastAsia"/>
          <w:bCs/>
          <w:sz w:val="24"/>
          <w:szCs w:val="24"/>
        </w:rPr>
        <w:t>超过异议时效的。</w:t>
      </w:r>
    </w:p>
    <w:p w14:paraId="66F7A7D0">
      <w:pPr>
        <w:pStyle w:val="2"/>
        <w:spacing w:line="440" w:lineRule="exact"/>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十</w:t>
      </w:r>
      <w:r>
        <w:rPr>
          <w:rFonts w:asciiTheme="majorEastAsia" w:hAnsiTheme="majorEastAsia" w:eastAsiaTheme="majorEastAsia"/>
          <w:w w:val="95"/>
          <w:sz w:val="24"/>
          <w:szCs w:val="24"/>
          <w:lang w:eastAsia="zh-CN"/>
        </w:rPr>
        <w:t>、</w:t>
      </w:r>
      <w:r>
        <w:rPr>
          <w:rFonts w:hint="eastAsia" w:asciiTheme="majorEastAsia" w:hAnsiTheme="majorEastAsia" w:eastAsiaTheme="majorEastAsia"/>
          <w:sz w:val="24"/>
          <w:szCs w:val="24"/>
          <w:lang w:eastAsia="zh-CN"/>
        </w:rPr>
        <w:t>最高控制价及报价要求</w:t>
      </w:r>
    </w:p>
    <w:p w14:paraId="30CCCBFA">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bCs/>
          <w:sz w:val="24"/>
          <w:szCs w:val="24"/>
          <w:lang w:eastAsia="zh-CN"/>
        </w:rPr>
        <w:t>1、本项目最高限价为人民币</w:t>
      </w:r>
      <w:r>
        <w:rPr>
          <w:rFonts w:hint="eastAsia" w:asciiTheme="majorEastAsia" w:hAnsiTheme="majorEastAsia" w:eastAsiaTheme="majorEastAsia"/>
          <w:b/>
          <w:bCs/>
          <w:sz w:val="24"/>
          <w:szCs w:val="24"/>
          <w:lang w:eastAsia="zh-CN"/>
        </w:rPr>
        <w:t>18万元（含税）</w:t>
      </w:r>
      <w:r>
        <w:rPr>
          <w:rFonts w:hint="eastAsia" w:asciiTheme="majorEastAsia" w:hAnsiTheme="majorEastAsia" w:eastAsiaTheme="majorEastAsia"/>
          <w:bCs/>
          <w:sz w:val="24"/>
          <w:szCs w:val="24"/>
          <w:lang w:eastAsia="zh-CN"/>
        </w:rPr>
        <w:t>。参比人所填报的参选总价高于本项目最高限价的，其参选将被评标委员会予以否决</w:t>
      </w:r>
      <w:r>
        <w:rPr>
          <w:rFonts w:hint="eastAsia" w:asciiTheme="majorEastAsia" w:hAnsiTheme="majorEastAsia" w:eastAsiaTheme="majorEastAsia"/>
          <w:sz w:val="24"/>
          <w:szCs w:val="24"/>
          <w:lang w:eastAsia="zh-CN"/>
        </w:rPr>
        <w:t>。</w:t>
      </w:r>
    </w:p>
    <w:p w14:paraId="1E5EB6B9">
      <w:pPr>
        <w:spacing w:line="440" w:lineRule="exact"/>
        <w:ind w:firstLine="480" w:firstLineChars="200"/>
        <w:rPr>
          <w:rFonts w:asciiTheme="majorEastAsia" w:hAnsiTheme="majorEastAsia" w:eastAsiaTheme="majorEastAsia"/>
          <w:bCs/>
          <w:sz w:val="24"/>
          <w:szCs w:val="24"/>
          <w:lang w:eastAsia="zh-CN"/>
        </w:rPr>
      </w:pPr>
      <w:r>
        <w:rPr>
          <w:rFonts w:hint="eastAsia" w:asciiTheme="majorEastAsia" w:hAnsiTheme="majorEastAsia" w:eastAsiaTheme="majorEastAsia"/>
          <w:bCs/>
          <w:sz w:val="24"/>
          <w:szCs w:val="24"/>
          <w:lang w:eastAsia="zh-CN"/>
        </w:rPr>
        <w:t>2、参比人应以完成本询比文件“发包说明”所述的所有内容所涉及的全部费用进行报价。中选后，参选报价不予调整。参比人在填报参选报价单时，应充分考虑合同实施过程中因人力成本的增加、原材料的价格上涨、国家宏观调控、经济环境变化等因素所产生费用的增加。询比文件中要求列入参选的费用，漏（缺）报的视同已含在参选总价中（具体见附件报价表中的说明）。</w:t>
      </w:r>
    </w:p>
    <w:p w14:paraId="6E237598">
      <w:pPr>
        <w:pStyle w:val="54"/>
        <w:adjustRightInd/>
        <w:spacing w:line="440" w:lineRule="exact"/>
        <w:jc w:val="left"/>
        <w:rPr>
          <w:rFonts w:asciiTheme="majorEastAsia" w:hAnsiTheme="majorEastAsia" w:eastAsiaTheme="majorEastAsia"/>
          <w:bCs/>
          <w:spacing w:val="-2"/>
          <w:sz w:val="24"/>
          <w:szCs w:val="24"/>
        </w:rPr>
      </w:pPr>
      <w:r>
        <w:rPr>
          <w:rFonts w:hint="eastAsia" w:asciiTheme="majorEastAsia" w:hAnsiTheme="majorEastAsia" w:eastAsiaTheme="majorEastAsia"/>
          <w:bCs/>
          <w:spacing w:val="-2"/>
          <w:sz w:val="24"/>
          <w:szCs w:val="24"/>
        </w:rPr>
        <w:t>备注：如依据我国法律法规及税收政策，本合同项下服务所涉及的增值税税率发生调整，双方一致同意按照调整后的增值税税率相应调整合同价款。</w:t>
      </w:r>
    </w:p>
    <w:p w14:paraId="4C1580D4">
      <w:pPr>
        <w:pStyle w:val="54"/>
        <w:adjustRightInd/>
        <w:spacing w:line="440" w:lineRule="exact"/>
        <w:jc w:val="left"/>
        <w:rPr>
          <w:rFonts w:asciiTheme="majorEastAsia" w:hAnsiTheme="majorEastAsia" w:eastAsiaTheme="majorEastAsia"/>
          <w:bCs/>
          <w:spacing w:val="-2"/>
          <w:sz w:val="24"/>
          <w:szCs w:val="24"/>
        </w:rPr>
      </w:pPr>
    </w:p>
    <w:p w14:paraId="50A3C734">
      <w:pPr>
        <w:pStyle w:val="2"/>
        <w:tabs>
          <w:tab w:val="left" w:pos="1262"/>
        </w:tabs>
        <w:spacing w:line="355" w:lineRule="exact"/>
        <w:ind w:left="0" w:right="108"/>
        <w:jc w:val="center"/>
        <w:rPr>
          <w:lang w:eastAsia="zh-CN"/>
        </w:rPr>
      </w:pPr>
      <w:r>
        <w:rPr>
          <w:lang w:eastAsia="zh-CN"/>
        </w:rPr>
        <w:t>第三章</w:t>
      </w:r>
      <w:r>
        <w:rPr>
          <w:lang w:eastAsia="zh-CN"/>
        </w:rPr>
        <w:tab/>
      </w:r>
      <w:r>
        <w:rPr>
          <w:lang w:eastAsia="zh-CN"/>
        </w:rPr>
        <w:t>参选文件的编制</w:t>
      </w:r>
    </w:p>
    <w:p w14:paraId="0F55C958">
      <w:pPr>
        <w:pStyle w:val="70"/>
        <w:numPr>
          <w:ilvl w:val="0"/>
          <w:numId w:val="7"/>
        </w:numPr>
        <w:spacing w:before="0" w:line="440" w:lineRule="exact"/>
        <w:ind w:left="0" w:firstLine="0"/>
        <w:rPr>
          <w:rFonts w:asciiTheme="majorEastAsia" w:hAnsiTheme="majorEastAsia" w:eastAsiaTheme="majorEastAsia"/>
          <w:b/>
          <w:w w:val="95"/>
          <w:sz w:val="24"/>
          <w:szCs w:val="24"/>
          <w:lang w:eastAsia="zh-CN"/>
        </w:rPr>
      </w:pPr>
      <w:r>
        <w:rPr>
          <w:rFonts w:asciiTheme="majorEastAsia" w:hAnsiTheme="majorEastAsia" w:eastAsiaTheme="majorEastAsia"/>
          <w:b/>
          <w:w w:val="95"/>
          <w:sz w:val="24"/>
          <w:szCs w:val="24"/>
          <w:lang w:eastAsia="zh-CN"/>
        </w:rPr>
        <w:t>参选文件的组成</w:t>
      </w:r>
      <w:r>
        <w:rPr>
          <w:rFonts w:hint="eastAsia" w:asciiTheme="majorEastAsia" w:hAnsiTheme="majorEastAsia" w:eastAsiaTheme="majorEastAsia"/>
          <w:b/>
          <w:w w:val="95"/>
          <w:sz w:val="24"/>
          <w:szCs w:val="24"/>
          <w:lang w:eastAsia="zh-CN"/>
        </w:rPr>
        <w:t>：（</w:t>
      </w:r>
      <w:r>
        <w:rPr>
          <w:rFonts w:hint="eastAsia" w:asciiTheme="majorEastAsia" w:hAnsiTheme="majorEastAsia" w:eastAsiaTheme="majorEastAsia" w:cstheme="minorEastAsia"/>
          <w:kern w:val="59"/>
          <w:sz w:val="24"/>
          <w:szCs w:val="24"/>
          <w:lang w:eastAsia="zh-CN"/>
        </w:rPr>
        <w:t>包括但不限于</w:t>
      </w:r>
      <w:r>
        <w:rPr>
          <w:rFonts w:hint="eastAsia" w:asciiTheme="majorEastAsia" w:hAnsiTheme="majorEastAsia" w:eastAsiaTheme="majorEastAsia"/>
          <w:b/>
          <w:w w:val="95"/>
          <w:sz w:val="24"/>
          <w:szCs w:val="24"/>
          <w:lang w:eastAsia="zh-CN"/>
        </w:rPr>
        <w:t>）</w:t>
      </w:r>
    </w:p>
    <w:p w14:paraId="58C4543E">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1）</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书；</w:t>
      </w:r>
    </w:p>
    <w:p w14:paraId="3D501800">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2）</w:t>
      </w:r>
      <w:r>
        <w:rPr>
          <w:rFonts w:hint="eastAsia" w:asciiTheme="majorEastAsia" w:hAnsiTheme="majorEastAsia" w:eastAsiaTheme="majorEastAsia"/>
          <w:kern w:val="59"/>
          <w:sz w:val="24"/>
          <w:szCs w:val="24"/>
          <w:lang w:eastAsia="zh-CN"/>
        </w:rPr>
        <w:t>参选承诺</w:t>
      </w:r>
      <w:r>
        <w:rPr>
          <w:rFonts w:asciiTheme="majorEastAsia" w:hAnsiTheme="majorEastAsia" w:eastAsiaTheme="majorEastAsia"/>
          <w:kern w:val="59"/>
          <w:sz w:val="24"/>
          <w:szCs w:val="24"/>
          <w:lang w:eastAsia="zh-CN"/>
        </w:rPr>
        <w:t>书；</w:t>
      </w:r>
    </w:p>
    <w:p w14:paraId="0C3E36F2">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3）法定代表人</w:t>
      </w:r>
      <w:r>
        <w:rPr>
          <w:rFonts w:hint="eastAsia" w:asciiTheme="majorEastAsia" w:hAnsiTheme="majorEastAsia" w:eastAsiaTheme="majorEastAsia"/>
          <w:kern w:val="59"/>
          <w:sz w:val="24"/>
          <w:szCs w:val="24"/>
          <w:lang w:eastAsia="zh-CN"/>
        </w:rPr>
        <w:t>及企业</w:t>
      </w:r>
      <w:r>
        <w:rPr>
          <w:rFonts w:asciiTheme="majorEastAsia" w:hAnsiTheme="majorEastAsia" w:eastAsiaTheme="majorEastAsia"/>
          <w:kern w:val="59"/>
          <w:sz w:val="24"/>
          <w:szCs w:val="24"/>
          <w:lang w:eastAsia="zh-CN"/>
        </w:rPr>
        <w:t>资格证明书；</w:t>
      </w:r>
    </w:p>
    <w:p w14:paraId="5236A968">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4）授权委托书；</w:t>
      </w:r>
    </w:p>
    <w:p w14:paraId="73083C19">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5）企业简况；</w:t>
      </w:r>
    </w:p>
    <w:p w14:paraId="400D0180">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6）</w:t>
      </w:r>
      <w:r>
        <w:rPr>
          <w:rFonts w:hint="eastAsia" w:asciiTheme="majorEastAsia" w:hAnsiTheme="majorEastAsia" w:eastAsiaTheme="majorEastAsia" w:cstheme="minorEastAsia"/>
          <w:kern w:val="59"/>
          <w:sz w:val="24"/>
          <w:szCs w:val="24"/>
          <w:lang w:eastAsia="zh-CN"/>
        </w:rPr>
        <w:t>各类资质证书；</w:t>
      </w:r>
    </w:p>
    <w:p w14:paraId="0159075D">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7）差异表；</w:t>
      </w:r>
    </w:p>
    <w:p w14:paraId="10C59183">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8）按本须知规定提供的其它资料</w:t>
      </w:r>
      <w:r>
        <w:rPr>
          <w:rFonts w:hint="eastAsia" w:asciiTheme="majorEastAsia" w:hAnsiTheme="majorEastAsia" w:eastAsiaTheme="majorEastAsia"/>
          <w:kern w:val="59"/>
          <w:sz w:val="24"/>
          <w:szCs w:val="24"/>
          <w:lang w:eastAsia="zh-CN"/>
        </w:rPr>
        <w:t>；</w:t>
      </w:r>
    </w:p>
    <w:p w14:paraId="54B75D06">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asciiTheme="majorEastAsia" w:hAnsiTheme="majorEastAsia" w:eastAsiaTheme="majorEastAsia"/>
          <w:kern w:val="59"/>
          <w:sz w:val="24"/>
          <w:szCs w:val="24"/>
          <w:lang w:eastAsia="zh-CN"/>
        </w:rPr>
        <w:t>9）</w:t>
      </w:r>
      <w:r>
        <w:rPr>
          <w:rFonts w:hint="eastAsia" w:asciiTheme="majorEastAsia" w:hAnsiTheme="majorEastAsia" w:eastAsiaTheme="majorEastAsia"/>
          <w:kern w:val="59"/>
          <w:sz w:val="24"/>
          <w:szCs w:val="24"/>
          <w:lang w:eastAsia="zh-CN"/>
        </w:rPr>
        <w:t>参选单位完成的与本项目相似业绩情况的说明；</w:t>
      </w:r>
    </w:p>
    <w:p w14:paraId="2EE7CF37">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hint="eastAsia" w:asciiTheme="majorEastAsia" w:hAnsiTheme="majorEastAsia" w:eastAsiaTheme="majorEastAsia"/>
          <w:kern w:val="59"/>
          <w:sz w:val="24"/>
          <w:szCs w:val="24"/>
          <w:lang w:eastAsia="zh-CN"/>
        </w:rPr>
        <w:t>10</w:t>
      </w:r>
      <w:r>
        <w:rPr>
          <w:rFonts w:asciiTheme="majorEastAsia" w:hAnsiTheme="majorEastAsia" w:eastAsiaTheme="majorEastAsia"/>
          <w:kern w:val="59"/>
          <w:sz w:val="24"/>
          <w:szCs w:val="24"/>
          <w:lang w:eastAsia="zh-CN"/>
        </w:rPr>
        <w:t>）按规定的格式提供项目经理及拟在现场或不在现场的管理和主要人员情况</w:t>
      </w:r>
      <w:r>
        <w:rPr>
          <w:rFonts w:hint="eastAsia" w:asciiTheme="majorEastAsia" w:hAnsiTheme="majorEastAsia" w:eastAsiaTheme="majorEastAsia"/>
          <w:kern w:val="59"/>
          <w:sz w:val="24"/>
          <w:szCs w:val="24"/>
          <w:lang w:eastAsia="zh-CN"/>
        </w:rPr>
        <w:t>。</w:t>
      </w:r>
      <w:r>
        <w:rPr>
          <w:rFonts w:asciiTheme="majorEastAsia" w:hAnsiTheme="majorEastAsia" w:eastAsiaTheme="majorEastAsia"/>
          <w:kern w:val="59"/>
          <w:sz w:val="24"/>
          <w:szCs w:val="24"/>
          <w:lang w:eastAsia="zh-CN"/>
        </w:rPr>
        <w:t>（进入现场时资格证提交</w:t>
      </w:r>
      <w:r>
        <w:rPr>
          <w:rFonts w:hint="eastAsia" w:asciiTheme="majorEastAsia" w:hAnsiTheme="majorEastAsia" w:eastAsiaTheme="majorEastAsia"/>
          <w:kern w:val="59"/>
          <w:sz w:val="24"/>
          <w:szCs w:val="24"/>
          <w:lang w:eastAsia="zh-CN"/>
        </w:rPr>
        <w:t>询比人</w:t>
      </w:r>
      <w:r>
        <w:rPr>
          <w:rFonts w:asciiTheme="majorEastAsia" w:hAnsiTheme="majorEastAsia" w:eastAsiaTheme="majorEastAsia"/>
          <w:kern w:val="59"/>
          <w:sz w:val="24"/>
          <w:szCs w:val="24"/>
          <w:lang w:eastAsia="zh-CN"/>
        </w:rPr>
        <w:t>验证备案，不能满足上述资格要求的，一律不予办理入厂许可证）</w:t>
      </w:r>
      <w:r>
        <w:rPr>
          <w:rFonts w:hint="eastAsia" w:asciiTheme="majorEastAsia" w:hAnsiTheme="majorEastAsia" w:eastAsiaTheme="majorEastAsia"/>
          <w:kern w:val="59"/>
          <w:sz w:val="24"/>
          <w:szCs w:val="24"/>
          <w:lang w:eastAsia="zh-CN"/>
        </w:rPr>
        <w:t>；</w:t>
      </w:r>
    </w:p>
    <w:p w14:paraId="7DC8CC97">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hint="eastAsia" w:asciiTheme="majorEastAsia" w:hAnsiTheme="majorEastAsia" w:eastAsiaTheme="majorEastAsia"/>
          <w:kern w:val="59"/>
          <w:sz w:val="24"/>
          <w:szCs w:val="24"/>
          <w:lang w:eastAsia="zh-CN"/>
        </w:rPr>
        <w:t>11</w:t>
      </w:r>
      <w:r>
        <w:rPr>
          <w:rFonts w:asciiTheme="majorEastAsia" w:hAnsiTheme="majorEastAsia" w:eastAsiaTheme="majorEastAsia"/>
          <w:kern w:val="59"/>
          <w:sz w:val="24"/>
          <w:szCs w:val="24"/>
          <w:lang w:eastAsia="zh-CN"/>
        </w:rPr>
        <w:t>）</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单位的财务状况包括近3年经过审计的主要财务报表；</w:t>
      </w:r>
    </w:p>
    <w:p w14:paraId="281FBF93">
      <w:pPr>
        <w:pStyle w:val="70"/>
        <w:spacing w:before="0" w:line="440" w:lineRule="exact"/>
        <w:ind w:left="0" w:firstLine="240" w:firstLineChars="100"/>
        <w:rPr>
          <w:rFonts w:asciiTheme="majorEastAsia" w:hAnsiTheme="majorEastAsia" w:eastAsiaTheme="majorEastAsia"/>
          <w:kern w:val="59"/>
          <w:sz w:val="24"/>
          <w:szCs w:val="24"/>
          <w:lang w:eastAsia="zh-CN"/>
        </w:rPr>
      </w:pPr>
      <w:r>
        <w:rPr>
          <w:rFonts w:hint="eastAsia" w:asciiTheme="majorEastAsia" w:hAnsiTheme="majorEastAsia" w:eastAsiaTheme="majorEastAsia"/>
          <w:kern w:val="59"/>
          <w:sz w:val="24"/>
          <w:szCs w:val="24"/>
          <w:lang w:eastAsia="zh-CN"/>
        </w:rPr>
        <w:t>12</w:t>
      </w:r>
      <w:r>
        <w:rPr>
          <w:rFonts w:asciiTheme="majorEastAsia" w:hAnsiTheme="majorEastAsia" w:eastAsiaTheme="majorEastAsia"/>
          <w:kern w:val="59"/>
          <w:sz w:val="24"/>
          <w:szCs w:val="24"/>
          <w:lang w:eastAsia="zh-CN"/>
        </w:rPr>
        <w:t>）</w:t>
      </w:r>
      <w:r>
        <w:rPr>
          <w:rFonts w:hint="eastAsia" w:asciiTheme="majorEastAsia" w:hAnsiTheme="majorEastAsia" w:eastAsiaTheme="majorEastAsia"/>
          <w:kern w:val="59"/>
          <w:sz w:val="24"/>
          <w:szCs w:val="24"/>
          <w:lang w:eastAsia="zh-CN"/>
        </w:rPr>
        <w:t>参选</w:t>
      </w:r>
      <w:r>
        <w:rPr>
          <w:rFonts w:asciiTheme="majorEastAsia" w:hAnsiTheme="majorEastAsia" w:eastAsiaTheme="majorEastAsia"/>
          <w:kern w:val="59"/>
          <w:sz w:val="24"/>
          <w:szCs w:val="24"/>
          <w:lang w:eastAsia="zh-CN"/>
        </w:rPr>
        <w:t>单位目前和近两年涉及诉讼的资料</w:t>
      </w:r>
      <w:r>
        <w:rPr>
          <w:rFonts w:hint="eastAsia" w:asciiTheme="majorEastAsia" w:hAnsiTheme="majorEastAsia" w:eastAsiaTheme="majorEastAsia"/>
          <w:kern w:val="59"/>
          <w:sz w:val="24"/>
          <w:szCs w:val="24"/>
          <w:lang w:eastAsia="zh-CN"/>
        </w:rPr>
        <w:t>。</w:t>
      </w:r>
    </w:p>
    <w:p w14:paraId="3D242464">
      <w:pPr>
        <w:pStyle w:val="19"/>
        <w:spacing w:line="440" w:lineRule="exact"/>
        <w:ind w:firstLine="480" w:firstLineChars="200"/>
        <w:rPr>
          <w:rFonts w:asciiTheme="majorEastAsia" w:hAnsiTheme="majorEastAsia" w:eastAsiaTheme="majorEastAsia"/>
          <w:b/>
          <w:lang w:eastAsia="zh-CN"/>
        </w:rPr>
      </w:pPr>
      <w:r>
        <w:rPr>
          <w:rFonts w:asciiTheme="majorEastAsia" w:hAnsiTheme="majorEastAsia" w:eastAsiaTheme="majorEastAsia"/>
          <w:lang w:eastAsia="zh-CN"/>
        </w:rPr>
        <w:t>以上</w:t>
      </w:r>
      <w:r>
        <w:rPr>
          <w:rFonts w:hint="eastAsia" w:asciiTheme="majorEastAsia" w:hAnsiTheme="majorEastAsia" w:eastAsiaTheme="majorEastAsia"/>
          <w:lang w:eastAsia="zh-CN"/>
        </w:rPr>
        <w:t>各</w:t>
      </w:r>
      <w:r>
        <w:rPr>
          <w:rFonts w:asciiTheme="majorEastAsia" w:hAnsiTheme="majorEastAsia" w:eastAsiaTheme="majorEastAsia"/>
          <w:lang w:eastAsia="zh-CN"/>
        </w:rPr>
        <w:t>项内容</w:t>
      </w:r>
      <w:r>
        <w:rPr>
          <w:rFonts w:hint="eastAsia" w:asciiTheme="majorEastAsia" w:hAnsiTheme="majorEastAsia" w:eastAsiaTheme="majorEastAsia"/>
          <w:b/>
          <w:bCs/>
          <w:lang w:eastAsia="zh-CN"/>
        </w:rPr>
        <w:t>装订成册</w:t>
      </w:r>
      <w:r>
        <w:rPr>
          <w:rFonts w:asciiTheme="majorEastAsia" w:hAnsiTheme="majorEastAsia" w:eastAsiaTheme="majorEastAsia"/>
          <w:lang w:eastAsia="zh-CN"/>
        </w:rPr>
        <w:t>密封并加盖公章</w:t>
      </w:r>
      <w:r>
        <w:rPr>
          <w:rFonts w:hint="eastAsia" w:asciiTheme="majorEastAsia" w:hAnsiTheme="majorEastAsia" w:eastAsiaTheme="majorEastAsia"/>
          <w:lang w:eastAsia="zh-CN"/>
        </w:rPr>
        <w:t>（一正两副）</w:t>
      </w:r>
      <w:r>
        <w:rPr>
          <w:rFonts w:asciiTheme="majorEastAsia" w:hAnsiTheme="majorEastAsia" w:eastAsiaTheme="majorEastAsia"/>
          <w:lang w:eastAsia="zh-CN"/>
        </w:rPr>
        <w:t>。</w:t>
      </w:r>
      <w:r>
        <w:rPr>
          <w:rFonts w:hint="eastAsia" w:asciiTheme="majorEastAsia" w:hAnsiTheme="majorEastAsia" w:eastAsiaTheme="majorEastAsia"/>
          <w:lang w:eastAsia="zh-CN"/>
        </w:rPr>
        <w:t>即</w:t>
      </w:r>
      <w:r>
        <w:rPr>
          <w:rFonts w:hint="eastAsia" w:asciiTheme="majorEastAsia" w:hAnsiTheme="majorEastAsia" w:eastAsiaTheme="majorEastAsia"/>
          <w:b/>
          <w:u w:val="double"/>
          <w:lang w:eastAsia="zh-CN"/>
        </w:rPr>
        <w:t>参选文件正本及副本密封在一个信封</w:t>
      </w:r>
      <w:r>
        <w:rPr>
          <w:rFonts w:hint="eastAsia" w:asciiTheme="majorEastAsia" w:hAnsiTheme="majorEastAsia" w:eastAsiaTheme="majorEastAsia"/>
          <w:lang w:eastAsia="zh-CN"/>
        </w:rPr>
        <w:t>，并标明询比编号、参选名称及正本或副本。信封上注明“于年月日时之前（指参选规定的开标日期及时间）不准启封”的字样。</w:t>
      </w:r>
    </w:p>
    <w:p w14:paraId="066DA9A9">
      <w:pPr>
        <w:pStyle w:val="19"/>
        <w:spacing w:line="440" w:lineRule="exact"/>
        <w:ind w:firstLine="482" w:firstLineChars="200"/>
        <w:rPr>
          <w:rFonts w:asciiTheme="majorEastAsia" w:hAnsiTheme="majorEastAsia" w:eastAsiaTheme="majorEastAsia"/>
          <w:lang w:eastAsia="zh-CN"/>
        </w:rPr>
      </w:pPr>
      <w:r>
        <w:rPr>
          <w:rFonts w:hint="eastAsia" w:asciiTheme="majorEastAsia" w:hAnsiTheme="majorEastAsia" w:eastAsiaTheme="majorEastAsia"/>
          <w:b/>
          <w:lang w:eastAsia="zh-CN"/>
        </w:rPr>
        <w:t>注：需提供参选文件及报价表电子版(U盘）一份（盖章PDF版），报价表须独立盖章密封</w:t>
      </w:r>
    </w:p>
    <w:p w14:paraId="55900B61">
      <w:pPr>
        <w:pStyle w:val="2"/>
        <w:spacing w:line="440" w:lineRule="exact"/>
        <w:ind w:left="0" w:firstLine="458" w:firstLineChars="20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二、参选书格式内容</w:t>
      </w:r>
    </w:p>
    <w:p w14:paraId="31C20A06">
      <w:pPr>
        <w:pStyle w:val="19"/>
        <w:spacing w:line="440" w:lineRule="exact"/>
        <w:ind w:right="-97" w:rightChars="-44"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参比人应仔细阅读询比文件的所有内容，按照询比文件的要求提交参选文件。参选文件应对询比文件的要求作出实质性响应，并保证所提供的全部资料的真实性，否则，</w:t>
      </w:r>
      <w:r>
        <w:rPr>
          <w:rFonts w:hint="eastAsia" w:asciiTheme="majorEastAsia" w:hAnsiTheme="majorEastAsia" w:eastAsiaTheme="majorEastAsia"/>
          <w:b/>
          <w:lang w:eastAsia="zh-CN"/>
        </w:rPr>
        <w:t>其参选将被拒绝。</w:t>
      </w:r>
      <w:r>
        <w:rPr>
          <w:rFonts w:hint="eastAsia" w:asciiTheme="majorEastAsia" w:hAnsiTheme="majorEastAsia" w:eastAsiaTheme="majorEastAsia"/>
          <w:lang w:eastAsia="zh-CN"/>
        </w:rPr>
        <w:t>参比人</w:t>
      </w:r>
      <w:r>
        <w:rPr>
          <w:rFonts w:asciiTheme="majorEastAsia" w:hAnsiTheme="majorEastAsia" w:eastAsiaTheme="majorEastAsia"/>
          <w:lang w:eastAsia="zh-CN"/>
        </w:rPr>
        <w:t>应按附件二格式内容要求进行参选</w:t>
      </w:r>
      <w:r>
        <w:rPr>
          <w:rFonts w:hint="eastAsia" w:asciiTheme="majorEastAsia" w:hAnsiTheme="majorEastAsia" w:eastAsiaTheme="majorEastAsia"/>
          <w:lang w:eastAsia="zh-CN"/>
        </w:rPr>
        <w:t>文件</w:t>
      </w:r>
      <w:r>
        <w:rPr>
          <w:rFonts w:asciiTheme="majorEastAsia" w:hAnsiTheme="majorEastAsia" w:eastAsiaTheme="majorEastAsia"/>
          <w:lang w:eastAsia="zh-CN"/>
        </w:rPr>
        <w:t>的编制</w:t>
      </w:r>
      <w:r>
        <w:rPr>
          <w:rFonts w:hint="eastAsia" w:asciiTheme="majorEastAsia" w:hAnsiTheme="majorEastAsia" w:eastAsiaTheme="majorEastAsia"/>
          <w:lang w:eastAsia="zh-CN"/>
        </w:rPr>
        <w:t>，完整提供询比文件附件二所规定的全部资格证明文件并按规定盖章和签署。</w:t>
      </w:r>
    </w:p>
    <w:p w14:paraId="4FC3D68D">
      <w:pPr>
        <w:pStyle w:val="2"/>
        <w:spacing w:line="440" w:lineRule="exact"/>
        <w:ind w:left="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备注：参比人应向询比人提供内容一致的</w:t>
      </w:r>
      <w:r>
        <w:rPr>
          <w:rFonts w:hint="eastAsia" w:asciiTheme="majorEastAsia" w:hAnsiTheme="majorEastAsia" w:eastAsiaTheme="majorEastAsia"/>
          <w:sz w:val="24"/>
          <w:szCs w:val="24"/>
          <w:u w:val="single"/>
          <w:lang w:eastAsia="zh-CN"/>
        </w:rPr>
        <w:t xml:space="preserve"> 3套 </w:t>
      </w:r>
      <w:r>
        <w:rPr>
          <w:rFonts w:hint="eastAsia" w:asciiTheme="majorEastAsia" w:hAnsiTheme="majorEastAsia" w:eastAsiaTheme="majorEastAsia"/>
          <w:sz w:val="24"/>
          <w:szCs w:val="24"/>
          <w:lang w:eastAsia="zh-CN"/>
        </w:rPr>
        <w:t>参选文件。</w:t>
      </w:r>
    </w:p>
    <w:p w14:paraId="71206DD9">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三、参选报价</w:t>
      </w:r>
    </w:p>
    <w:p w14:paraId="5039571D">
      <w:pPr>
        <w:pStyle w:val="19"/>
        <w:spacing w:line="440" w:lineRule="exact"/>
        <w:ind w:firstLine="477"/>
        <w:rPr>
          <w:rFonts w:asciiTheme="majorEastAsia" w:hAnsiTheme="majorEastAsia" w:eastAsiaTheme="majorEastAsia"/>
          <w:lang w:eastAsia="zh-CN"/>
        </w:rPr>
      </w:pPr>
      <w:r>
        <w:rPr>
          <w:rFonts w:hint="eastAsia" w:asciiTheme="majorEastAsia" w:hAnsiTheme="majorEastAsia" w:eastAsiaTheme="majorEastAsia"/>
          <w:spacing w:val="-3"/>
          <w:lang w:eastAsia="zh-CN"/>
        </w:rPr>
        <w:t>参比人</w:t>
      </w:r>
      <w:r>
        <w:rPr>
          <w:rFonts w:asciiTheme="majorEastAsia" w:hAnsiTheme="majorEastAsia" w:eastAsiaTheme="majorEastAsia"/>
          <w:spacing w:val="-3"/>
          <w:lang w:eastAsia="zh-CN"/>
        </w:rPr>
        <w:t>须按要求进行报价</w:t>
      </w:r>
      <w:r>
        <w:rPr>
          <w:rFonts w:asciiTheme="majorEastAsia" w:hAnsiTheme="majorEastAsia" w:eastAsiaTheme="majorEastAsia"/>
          <w:spacing w:val="-29"/>
          <w:lang w:eastAsia="zh-CN"/>
        </w:rPr>
        <w:t>，</w:t>
      </w:r>
      <w:r>
        <w:rPr>
          <w:rFonts w:asciiTheme="majorEastAsia" w:hAnsiTheme="majorEastAsia" w:eastAsiaTheme="majorEastAsia"/>
          <w:spacing w:val="-4"/>
          <w:lang w:eastAsia="zh-CN"/>
        </w:rPr>
        <w:t>对参选报价负责。参选报价应加盖</w:t>
      </w:r>
      <w:r>
        <w:rPr>
          <w:rFonts w:hint="eastAsia" w:asciiTheme="majorEastAsia" w:hAnsiTheme="majorEastAsia" w:eastAsiaTheme="majorEastAsia"/>
          <w:spacing w:val="-4"/>
          <w:lang w:eastAsia="zh-CN"/>
        </w:rPr>
        <w:t>参比人</w:t>
      </w:r>
      <w:r>
        <w:rPr>
          <w:rFonts w:asciiTheme="majorEastAsia" w:hAnsiTheme="majorEastAsia" w:eastAsiaTheme="majorEastAsia"/>
          <w:spacing w:val="-4"/>
          <w:lang w:eastAsia="zh-CN"/>
        </w:rPr>
        <w:t>印章，字迹清晰，否则视为无效。</w:t>
      </w:r>
    </w:p>
    <w:p w14:paraId="10B1936A">
      <w:pPr>
        <w:pStyle w:val="2"/>
        <w:spacing w:line="440" w:lineRule="exact"/>
        <w:ind w:left="0"/>
        <w:rPr>
          <w:rFonts w:asciiTheme="majorEastAsia" w:hAnsiTheme="majorEastAsia" w:eastAsiaTheme="majorEastAsia"/>
          <w:sz w:val="24"/>
          <w:szCs w:val="24"/>
          <w:lang w:eastAsia="zh-CN"/>
        </w:rPr>
      </w:pPr>
      <w:r>
        <w:rPr>
          <w:rFonts w:asciiTheme="majorEastAsia" w:hAnsiTheme="majorEastAsia" w:eastAsiaTheme="majorEastAsia"/>
          <w:w w:val="95"/>
          <w:sz w:val="24"/>
          <w:szCs w:val="24"/>
          <w:lang w:eastAsia="zh-CN"/>
        </w:rPr>
        <w:t>四、特别说明</w:t>
      </w:r>
    </w:p>
    <w:p w14:paraId="33F8B9ED">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1.</w:t>
      </w:r>
      <w:r>
        <w:rPr>
          <w:rFonts w:hint="eastAsia" w:asciiTheme="majorEastAsia" w:hAnsiTheme="majorEastAsia" w:eastAsiaTheme="majorEastAsia"/>
          <w:spacing w:val="-5"/>
          <w:lang w:eastAsia="zh-CN"/>
        </w:rPr>
        <w:t>参比人</w:t>
      </w:r>
      <w:r>
        <w:rPr>
          <w:rFonts w:asciiTheme="majorEastAsia" w:hAnsiTheme="majorEastAsia" w:eastAsiaTheme="majorEastAsia"/>
          <w:spacing w:val="-5"/>
          <w:lang w:eastAsia="zh-CN"/>
        </w:rPr>
        <w:t>承担所有与准备和参加询比有关的费用。</w:t>
      </w:r>
      <w:r>
        <w:rPr>
          <w:rFonts w:hint="eastAsia" w:asciiTheme="majorEastAsia" w:hAnsiTheme="majorEastAsia" w:eastAsiaTheme="majorEastAsia"/>
          <w:lang w:eastAsia="zh-CN"/>
        </w:rPr>
        <w:t>无论询比过程中的作法和结果如何，</w:t>
      </w:r>
      <w:r>
        <w:rPr>
          <w:rFonts w:asciiTheme="majorEastAsia" w:hAnsiTheme="majorEastAsia" w:eastAsiaTheme="majorEastAsia"/>
          <w:spacing w:val="-5"/>
          <w:lang w:eastAsia="zh-CN"/>
        </w:rPr>
        <w:t>询比机构和询比人均无义务和责任承担这些费用</w:t>
      </w:r>
      <w:r>
        <w:rPr>
          <w:rFonts w:hint="eastAsia" w:asciiTheme="majorEastAsia" w:hAnsiTheme="majorEastAsia" w:eastAsiaTheme="majorEastAsia"/>
          <w:spacing w:val="-5"/>
          <w:lang w:eastAsia="zh-CN"/>
        </w:rPr>
        <w:t>，参比人</w:t>
      </w:r>
      <w:r>
        <w:rPr>
          <w:rFonts w:hint="eastAsia" w:asciiTheme="majorEastAsia" w:hAnsiTheme="majorEastAsia" w:eastAsiaTheme="majorEastAsia"/>
          <w:lang w:eastAsia="zh-CN"/>
        </w:rPr>
        <w:t>应自行承担所有与参加投标有关的全部费用。</w:t>
      </w:r>
    </w:p>
    <w:p w14:paraId="47A563C7">
      <w:pPr>
        <w:pStyle w:val="19"/>
        <w:spacing w:line="440" w:lineRule="exact"/>
        <w:ind w:firstLine="482"/>
        <w:rPr>
          <w:rFonts w:asciiTheme="majorEastAsia" w:hAnsiTheme="majorEastAsia" w:eastAsiaTheme="majorEastAsia"/>
          <w:lang w:eastAsia="zh-CN"/>
        </w:rPr>
      </w:pPr>
      <w:r>
        <w:rPr>
          <w:rFonts w:asciiTheme="majorEastAsia" w:hAnsiTheme="majorEastAsia" w:eastAsiaTheme="majorEastAsia"/>
          <w:lang w:eastAsia="zh-CN"/>
        </w:rPr>
        <w:t>2.</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收到询比文件后，如有疑问需澄清，请以书面形式在规定时间内报询比人汇总。</w:t>
      </w:r>
      <w:r>
        <w:rPr>
          <w:rFonts w:asciiTheme="majorEastAsia" w:hAnsiTheme="majorEastAsia" w:eastAsiaTheme="majorEastAsia"/>
          <w:b/>
          <w:i/>
          <w:iCs/>
          <w:highlight w:val="yellow"/>
          <w:lang w:eastAsia="zh-CN"/>
        </w:rPr>
        <w:t>自行踏勘现场，</w:t>
      </w:r>
      <w:r>
        <w:rPr>
          <w:rFonts w:hint="eastAsia" w:asciiTheme="majorEastAsia" w:hAnsiTheme="majorEastAsia" w:eastAsiaTheme="majorEastAsia"/>
          <w:b/>
          <w:i/>
          <w:iCs/>
          <w:highlight w:val="yellow"/>
          <w:lang w:eastAsia="zh-CN"/>
        </w:rPr>
        <w:t>风险自负，费用自理。询比</w:t>
      </w:r>
      <w:r>
        <w:rPr>
          <w:rFonts w:asciiTheme="majorEastAsia" w:hAnsiTheme="majorEastAsia" w:eastAsiaTheme="majorEastAsia"/>
          <w:b/>
          <w:i/>
          <w:iCs/>
          <w:highlight w:val="yellow"/>
          <w:lang w:eastAsia="zh-CN"/>
        </w:rPr>
        <w:t>人不组织踏勘现场</w:t>
      </w:r>
      <w:r>
        <w:rPr>
          <w:rFonts w:hint="eastAsia" w:asciiTheme="majorEastAsia" w:hAnsiTheme="majorEastAsia" w:eastAsiaTheme="majorEastAsia"/>
          <w:b/>
          <w:i/>
          <w:iCs/>
          <w:highlight w:val="yellow"/>
          <w:lang w:eastAsia="zh-CN"/>
        </w:rPr>
        <w:t>，不举行标前答疑会。</w:t>
      </w:r>
    </w:p>
    <w:p w14:paraId="484DD334">
      <w:pPr>
        <w:pStyle w:val="19"/>
        <w:spacing w:line="440" w:lineRule="exact"/>
        <w:ind w:firstLine="482"/>
        <w:rPr>
          <w:rFonts w:asciiTheme="majorEastAsia" w:hAnsiTheme="majorEastAsia" w:eastAsiaTheme="majorEastAsia"/>
          <w:spacing w:val="-9"/>
          <w:lang w:eastAsia="zh-CN"/>
        </w:rPr>
      </w:pPr>
      <w:r>
        <w:rPr>
          <w:rFonts w:asciiTheme="majorEastAsia" w:hAnsiTheme="majorEastAsia" w:eastAsiaTheme="majorEastAsia"/>
          <w:lang w:eastAsia="zh-CN"/>
        </w:rPr>
        <w:t>3.</w:t>
      </w:r>
      <w:r>
        <w:rPr>
          <w:rFonts w:hint="eastAsia" w:asciiTheme="majorEastAsia" w:hAnsiTheme="majorEastAsia" w:eastAsiaTheme="majorEastAsia"/>
          <w:spacing w:val="-6"/>
          <w:lang w:eastAsia="zh-CN"/>
        </w:rPr>
        <w:t>参比人</w:t>
      </w:r>
      <w:r>
        <w:rPr>
          <w:rFonts w:asciiTheme="majorEastAsia" w:hAnsiTheme="majorEastAsia" w:eastAsiaTheme="majorEastAsia"/>
          <w:spacing w:val="-6"/>
          <w:lang w:eastAsia="zh-CN"/>
        </w:rPr>
        <w:t>对询比人提供的询比文件所做出的推论、解释和结论，询比人概不负责。</w:t>
      </w:r>
      <w:r>
        <w:rPr>
          <w:rFonts w:hint="eastAsia" w:asciiTheme="majorEastAsia" w:hAnsiTheme="majorEastAsia" w:eastAsiaTheme="majorEastAsia"/>
          <w:spacing w:val="-6"/>
          <w:lang w:eastAsia="zh-CN"/>
        </w:rPr>
        <w:t>参比人</w:t>
      </w:r>
      <w:r>
        <w:rPr>
          <w:rFonts w:asciiTheme="majorEastAsia" w:hAnsiTheme="majorEastAsia" w:eastAsiaTheme="majorEastAsia"/>
          <w:spacing w:val="-9"/>
          <w:lang w:eastAsia="zh-CN"/>
        </w:rPr>
        <w:t>由于对询比文件的任何推论和误解以及询比对有关问题的口头解释所造成的后果，均由</w:t>
      </w:r>
      <w:r>
        <w:rPr>
          <w:rFonts w:hint="eastAsia" w:asciiTheme="majorEastAsia" w:hAnsiTheme="majorEastAsia" w:eastAsiaTheme="majorEastAsia"/>
          <w:spacing w:val="-9"/>
          <w:lang w:eastAsia="zh-CN"/>
        </w:rPr>
        <w:t>参比人</w:t>
      </w:r>
      <w:r>
        <w:rPr>
          <w:rFonts w:asciiTheme="majorEastAsia" w:hAnsiTheme="majorEastAsia" w:eastAsiaTheme="majorEastAsia"/>
          <w:spacing w:val="-9"/>
          <w:lang w:eastAsia="zh-CN"/>
        </w:rPr>
        <w:t>负责。</w:t>
      </w:r>
    </w:p>
    <w:p w14:paraId="2FF7A0BF">
      <w:pPr>
        <w:pStyle w:val="20"/>
        <w:spacing w:line="440" w:lineRule="exact"/>
        <w:ind w:left="0" w:leftChars="0" w:firstLine="543" w:firstLineChars="245"/>
        <w:jc w:val="left"/>
        <w:rPr>
          <w:rFonts w:asciiTheme="majorEastAsia" w:hAnsiTheme="majorEastAsia" w:eastAsiaTheme="majorEastAsia"/>
          <w:b/>
          <w:bCs/>
          <w:i w:val="0"/>
          <w:sz w:val="24"/>
          <w:szCs w:val="24"/>
          <w:u w:val="double"/>
        </w:rPr>
      </w:pPr>
      <w:r>
        <w:rPr>
          <w:rFonts w:hint="eastAsia" w:asciiTheme="majorEastAsia" w:hAnsiTheme="majorEastAsia" w:eastAsiaTheme="majorEastAsia"/>
          <w:i w:val="0"/>
          <w:spacing w:val="-9"/>
          <w:sz w:val="24"/>
          <w:szCs w:val="24"/>
        </w:rPr>
        <w:t>4.</w:t>
      </w:r>
      <w:r>
        <w:rPr>
          <w:rFonts w:hint="eastAsia" w:asciiTheme="majorEastAsia" w:hAnsiTheme="majorEastAsia" w:eastAsiaTheme="majorEastAsia"/>
          <w:bCs/>
          <w:i w:val="0"/>
          <w:sz w:val="24"/>
          <w:szCs w:val="24"/>
        </w:rPr>
        <w:t xml:space="preserve"> 本询比文件（含资格、商务和技术要求等材料）规定的各相关条款要求，如果参比人在参选文件中没有以书面方式对询比文件规定的各项要求和条款提出不满足或不响应或负偏离，则视为参比人能够完全理解并满足本询比文件规定的各相关条款要求。如有不满足或不响应或负偏离，不管是多么微小，参比人都应在参选文件中的“技术或商务偏离表”中加以如实详细说明，否则，参比人中标后才提出或者被询比人发现的任何负偏离或不响应或不满足均视为中标人违约，按参比人虚假承诺骗取中标处理，询比人将取消其中标人资格，给询比人造成损失的，还必须进行赔偿并负相关责任。</w:t>
      </w:r>
    </w:p>
    <w:p w14:paraId="48B05781">
      <w:pPr>
        <w:pStyle w:val="19"/>
        <w:spacing w:line="440" w:lineRule="exact"/>
        <w:ind w:firstLine="480" w:firstLineChars="200"/>
        <w:rPr>
          <w:rFonts w:asciiTheme="majorEastAsia" w:hAnsiTheme="majorEastAsia" w:eastAsiaTheme="majorEastAsia"/>
          <w:bCs/>
          <w:lang w:eastAsia="zh-CN"/>
        </w:rPr>
      </w:pPr>
      <w:r>
        <w:rPr>
          <w:rFonts w:hint="eastAsia" w:asciiTheme="majorEastAsia" w:hAnsiTheme="majorEastAsia" w:eastAsiaTheme="majorEastAsia"/>
          <w:lang w:eastAsia="zh-CN"/>
        </w:rPr>
        <w:t>5.参比人</w:t>
      </w:r>
      <w:r>
        <w:rPr>
          <w:rFonts w:hint="eastAsia" w:asciiTheme="majorEastAsia" w:hAnsiTheme="majorEastAsia" w:eastAsiaTheme="majorEastAsia"/>
          <w:bCs/>
          <w:lang w:eastAsia="zh-CN"/>
        </w:rPr>
        <w:t>必须对其参选文件中提供各种资料、说明、承诺的真实性负责。询比人有权在评标过程中或签订合同之前对参比人参选文件中的各种资料、说明、承诺的真实性进行核查，参比人应无条件配合询比人的核查工作，不得托词拒绝核查或隐瞒真实情况。若在评标过程中，发现参比人有为谋取中标而提供虚假资料和承诺欺骗询比人的行为，将取消其中标资格。若在中标后或执行合同过程中发现有为谋取中标而提供虚假资料和承诺欺骗询比人的行为，询比人将取消其中标资格，给询比人造成损失的，还必须进行赔偿并负相关责任。</w:t>
      </w:r>
    </w:p>
    <w:p w14:paraId="0CAC3BE9">
      <w:pPr>
        <w:pStyle w:val="19"/>
        <w:spacing w:line="440" w:lineRule="exact"/>
        <w:ind w:firstLine="482"/>
        <w:rPr>
          <w:rFonts w:asciiTheme="majorEastAsia" w:hAnsiTheme="majorEastAsia" w:eastAsiaTheme="majorEastAsia"/>
          <w:lang w:eastAsia="zh-CN"/>
        </w:rPr>
      </w:pPr>
      <w:r>
        <w:rPr>
          <w:rFonts w:hint="eastAsia" w:asciiTheme="majorEastAsia" w:hAnsiTheme="majorEastAsia" w:eastAsiaTheme="majorEastAsia"/>
          <w:lang w:eastAsia="zh-CN"/>
        </w:rPr>
        <w:t>6. 参选文件对询比文件未提出异议的条款，均被视为参比人已接受和同意。参选文件与询比文件有差异之处，均应按“偏离表”的格式统一汇总说明。</w:t>
      </w:r>
      <w:bookmarkStart w:id="0" w:name="_Toc430490619"/>
      <w:bookmarkStart w:id="1" w:name="_Toc415567504"/>
      <w:bookmarkStart w:id="2" w:name="_Toc177186249"/>
      <w:bookmarkStart w:id="3" w:name="_Toc430489126"/>
      <w:bookmarkStart w:id="4" w:name="_Toc430488651"/>
      <w:bookmarkStart w:id="5" w:name="_Toc430488858"/>
      <w:bookmarkStart w:id="6" w:name="_Toc304357904"/>
      <w:bookmarkStart w:id="7" w:name="_Toc430422420"/>
      <w:bookmarkStart w:id="8" w:name="_Toc430492133"/>
    </w:p>
    <w:p w14:paraId="1886F276">
      <w:pPr>
        <w:pStyle w:val="19"/>
        <w:spacing w:line="440" w:lineRule="exact"/>
        <w:ind w:firstLine="482"/>
        <w:rPr>
          <w:rFonts w:asciiTheme="majorEastAsia" w:hAnsiTheme="majorEastAsia" w:eastAsiaTheme="majorEastAsia"/>
          <w:lang w:eastAsia="zh-CN"/>
        </w:rPr>
      </w:pPr>
      <w:r>
        <w:rPr>
          <w:rFonts w:hint="eastAsia" w:asciiTheme="majorEastAsia" w:hAnsiTheme="majorEastAsia" w:eastAsiaTheme="majorEastAsia"/>
          <w:lang w:eastAsia="zh-CN"/>
        </w:rPr>
        <w:t>7. 参选报价</w:t>
      </w:r>
      <w:bookmarkEnd w:id="0"/>
      <w:bookmarkEnd w:id="1"/>
      <w:bookmarkEnd w:id="2"/>
      <w:bookmarkEnd w:id="3"/>
      <w:bookmarkEnd w:id="4"/>
      <w:bookmarkEnd w:id="5"/>
      <w:bookmarkEnd w:id="6"/>
      <w:bookmarkEnd w:id="7"/>
      <w:bookmarkEnd w:id="8"/>
    </w:p>
    <w:p w14:paraId="03525644">
      <w:pPr>
        <w:spacing w:line="440" w:lineRule="exact"/>
        <w:ind w:firstLine="480" w:firstLineChars="200"/>
        <w:rPr>
          <w:rFonts w:cs="黑体" w:asciiTheme="majorEastAsia" w:hAnsiTheme="majorEastAsia" w:eastAsiaTheme="majorEastAsia"/>
          <w:b/>
          <w:sz w:val="24"/>
          <w:szCs w:val="24"/>
          <w:lang w:eastAsia="zh-CN"/>
        </w:rPr>
      </w:pPr>
      <w:r>
        <w:rPr>
          <w:rFonts w:hint="eastAsia" w:asciiTheme="majorEastAsia" w:hAnsiTheme="majorEastAsia" w:eastAsiaTheme="majorEastAsia"/>
          <w:sz w:val="24"/>
          <w:szCs w:val="24"/>
          <w:lang w:eastAsia="zh-CN"/>
        </w:rPr>
        <w:t>7.1 参比人应在参选文件所附的参选报价表上写明参选</w:t>
      </w:r>
      <w:r>
        <w:rPr>
          <w:rFonts w:hint="eastAsia" w:asciiTheme="majorEastAsia" w:hAnsiTheme="majorEastAsia" w:eastAsiaTheme="majorEastAsia"/>
          <w:b/>
          <w:sz w:val="24"/>
          <w:szCs w:val="24"/>
          <w:lang w:eastAsia="zh-CN"/>
        </w:rPr>
        <w:t>系统的分项价格和参选总价</w:t>
      </w:r>
      <w:r>
        <w:rPr>
          <w:rFonts w:hint="eastAsia" w:asciiTheme="majorEastAsia" w:hAnsiTheme="majorEastAsia" w:eastAsiaTheme="majorEastAsia"/>
          <w:sz w:val="24"/>
          <w:szCs w:val="24"/>
          <w:lang w:eastAsia="zh-CN"/>
        </w:rPr>
        <w:t>。</w:t>
      </w:r>
    </w:p>
    <w:p w14:paraId="7DADE05D">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7.2 参选报价将按照参选文件第</w:t>
      </w:r>
      <w:r>
        <w:rPr>
          <w:rFonts w:hint="eastAsia" w:asciiTheme="majorEastAsia" w:hAnsiTheme="majorEastAsia" w:eastAsiaTheme="majorEastAsia"/>
          <w:b/>
          <w:sz w:val="24"/>
          <w:szCs w:val="24"/>
          <w:lang w:eastAsia="zh-CN"/>
        </w:rPr>
        <w:t>4</w:t>
      </w:r>
      <w:r>
        <w:rPr>
          <w:rFonts w:hint="eastAsia" w:asciiTheme="majorEastAsia" w:hAnsiTheme="majorEastAsia" w:eastAsiaTheme="majorEastAsia"/>
          <w:sz w:val="24"/>
          <w:szCs w:val="24"/>
          <w:lang w:eastAsia="zh-CN"/>
        </w:rPr>
        <w:t>章“评选规则”的规定进行。</w:t>
      </w:r>
    </w:p>
    <w:p w14:paraId="24093D3E">
      <w:pPr>
        <w:spacing w:line="440" w:lineRule="exact"/>
        <w:ind w:firstLine="480" w:firstLineChars="200"/>
        <w:rPr>
          <w:rFonts w:cs="黑体" w:asciiTheme="majorEastAsia" w:hAnsiTheme="majorEastAsia" w:eastAsiaTheme="majorEastAsia"/>
          <w:b/>
          <w:sz w:val="24"/>
          <w:szCs w:val="24"/>
          <w:lang w:eastAsia="zh-CN"/>
        </w:rPr>
      </w:pPr>
      <w:r>
        <w:rPr>
          <w:rFonts w:hint="eastAsia" w:asciiTheme="majorEastAsia" w:hAnsiTheme="majorEastAsia" w:eastAsiaTheme="majorEastAsia"/>
          <w:sz w:val="24"/>
          <w:szCs w:val="24"/>
          <w:lang w:eastAsia="zh-CN"/>
        </w:rPr>
        <w:t>7.3 除非另有规定或许可，国内参比人应用人民币报价。</w:t>
      </w:r>
    </w:p>
    <w:p w14:paraId="66BB78BE">
      <w:pPr>
        <w:spacing w:line="440" w:lineRule="exact"/>
        <w:ind w:right="-97" w:rightChars="-44" w:firstLine="480" w:firstLineChars="200"/>
        <w:rPr>
          <w:rFonts w:cs="黑体"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7.4</w:t>
      </w:r>
      <w:r>
        <w:rPr>
          <w:rFonts w:hint="eastAsia" w:asciiTheme="majorEastAsia" w:hAnsiTheme="majorEastAsia" w:eastAsiaTheme="majorEastAsia"/>
          <w:b/>
          <w:sz w:val="24"/>
          <w:szCs w:val="24"/>
          <w:lang w:eastAsia="zh-CN"/>
        </w:rPr>
        <w:t xml:space="preserve"> </w:t>
      </w:r>
      <w:r>
        <w:rPr>
          <w:rFonts w:hint="eastAsia" w:asciiTheme="majorEastAsia" w:hAnsiTheme="majorEastAsia" w:eastAsiaTheme="majorEastAsia"/>
          <w:sz w:val="24"/>
          <w:szCs w:val="24"/>
          <w:lang w:eastAsia="zh-CN"/>
        </w:rPr>
        <w:t>参比人对每项内容只允许有一个报价，询比人不接受有任何选择的报价。</w:t>
      </w:r>
    </w:p>
    <w:p w14:paraId="26A97A89">
      <w:pPr>
        <w:pStyle w:val="19"/>
        <w:spacing w:line="440" w:lineRule="exact"/>
        <w:ind w:firstLine="480"/>
        <w:rPr>
          <w:rFonts w:asciiTheme="majorEastAsia" w:hAnsiTheme="majorEastAsia" w:eastAsiaTheme="majorEastAsia"/>
          <w:lang w:eastAsia="zh-CN"/>
        </w:rPr>
      </w:pPr>
      <w:r>
        <w:rPr>
          <w:rFonts w:hint="eastAsia" w:asciiTheme="majorEastAsia" w:hAnsiTheme="majorEastAsia" w:eastAsiaTheme="majorEastAsia"/>
          <w:lang w:eastAsia="zh-CN"/>
        </w:rPr>
        <w:t>7.5 若参比人的报价明显低于其他参选报价，使得其参选报价可能低于其个别成本的，参比人应按要求作出书面说明并提供相关证明材料。参比人不能合理说明或不能提供相关证明材料的，由评标小组认定该参比人以低于成本报价竞标，其应作废标处理。</w:t>
      </w:r>
    </w:p>
    <w:p w14:paraId="03FE9086">
      <w:pPr>
        <w:pStyle w:val="19"/>
        <w:spacing w:line="440" w:lineRule="exact"/>
        <w:ind w:firstLine="480"/>
        <w:rPr>
          <w:rFonts w:asciiTheme="majorEastAsia" w:hAnsiTheme="majorEastAsia" w:eastAsiaTheme="majorEastAsia"/>
          <w:lang w:eastAsia="zh-CN"/>
        </w:rPr>
      </w:pPr>
      <w:r>
        <w:rPr>
          <w:rFonts w:hint="eastAsia" w:asciiTheme="majorEastAsia" w:hAnsiTheme="majorEastAsia" w:eastAsiaTheme="majorEastAsia"/>
          <w:lang w:eastAsia="zh-CN"/>
        </w:rPr>
        <w:t>8. 参比人必须提交证明其有资格进行参选和有能力履行合同的资格证明文件，作为参选文件的一部分。</w:t>
      </w:r>
    </w:p>
    <w:p w14:paraId="192CF4AA">
      <w:pPr>
        <w:spacing w:line="440" w:lineRule="exact"/>
        <w:ind w:firstLine="470" w:firstLineChars="196"/>
        <w:rPr>
          <w:rFonts w:asciiTheme="majorEastAsia" w:hAnsiTheme="majorEastAsia" w:eastAsiaTheme="majorEastAsia"/>
          <w:sz w:val="24"/>
          <w:szCs w:val="24"/>
          <w:lang w:eastAsia="zh-CN"/>
        </w:rPr>
      </w:pPr>
      <w:bookmarkStart w:id="9" w:name="_Toc30266"/>
      <w:r>
        <w:rPr>
          <w:rFonts w:hint="eastAsia" w:asciiTheme="majorEastAsia" w:hAnsiTheme="majorEastAsia" w:eastAsiaTheme="majorEastAsia"/>
          <w:sz w:val="24"/>
          <w:szCs w:val="24"/>
          <w:lang w:eastAsia="zh-CN"/>
        </w:rPr>
        <w:t>a.参比人应在参选文件中附上服务业绩的合同文件复印件。</w:t>
      </w:r>
      <w:bookmarkEnd w:id="9"/>
    </w:p>
    <w:p w14:paraId="0D3E66E7">
      <w:pPr>
        <w:spacing w:line="440" w:lineRule="exact"/>
        <w:ind w:firstLine="470" w:firstLineChars="196"/>
        <w:rPr>
          <w:rFonts w:asciiTheme="majorEastAsia" w:hAnsiTheme="majorEastAsia" w:eastAsiaTheme="majorEastAsia"/>
          <w:sz w:val="24"/>
          <w:szCs w:val="24"/>
          <w:lang w:eastAsia="zh-CN"/>
        </w:rPr>
      </w:pPr>
      <w:bookmarkStart w:id="10" w:name="_Toc4607"/>
      <w:r>
        <w:rPr>
          <w:rFonts w:hint="eastAsia" w:asciiTheme="majorEastAsia" w:hAnsiTheme="majorEastAsia" w:eastAsiaTheme="majorEastAsia"/>
          <w:sz w:val="24"/>
          <w:szCs w:val="24"/>
          <w:lang w:eastAsia="zh-CN"/>
        </w:rPr>
        <w:t>b.</w:t>
      </w:r>
      <w:bookmarkEnd w:id="10"/>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所报“业绩”时间以合同签订的日期为准。</w:t>
      </w:r>
    </w:p>
    <w:p w14:paraId="1DE6BEDD">
      <w:pPr>
        <w:spacing w:line="440" w:lineRule="exact"/>
        <w:ind w:firstLine="470" w:firstLineChars="196"/>
        <w:rPr>
          <w:rFonts w:asciiTheme="majorEastAsia" w:hAnsiTheme="majorEastAsia" w:eastAsiaTheme="majorEastAsia"/>
          <w:sz w:val="24"/>
          <w:szCs w:val="24"/>
          <w:lang w:eastAsia="zh-CN"/>
        </w:rPr>
      </w:pPr>
      <w:bookmarkStart w:id="11" w:name="_Toc982"/>
      <w:r>
        <w:rPr>
          <w:rFonts w:hint="eastAsia" w:asciiTheme="majorEastAsia" w:hAnsiTheme="majorEastAsia" w:eastAsiaTheme="majorEastAsia"/>
          <w:sz w:val="24"/>
          <w:szCs w:val="24"/>
          <w:lang w:eastAsia="zh-CN"/>
        </w:rPr>
        <w:t xml:space="preserve">c. </w:t>
      </w:r>
      <w:bookmarkEnd w:id="11"/>
      <w:r>
        <w:rPr>
          <w:rFonts w:hint="eastAsia" w:asciiTheme="majorEastAsia" w:hAnsiTheme="majorEastAsia" w:eastAsiaTheme="majorEastAsia"/>
          <w:sz w:val="24"/>
          <w:szCs w:val="24"/>
          <w:lang w:eastAsia="zh-CN"/>
        </w:rPr>
        <w:t>参比人应在业绩证明文件中针对项目特征作出明显标记，以便评委进行评审。参比人与其拟派的项目经理的“类似项目业绩”可为同一项目，也可为不同项目。</w:t>
      </w:r>
    </w:p>
    <w:p w14:paraId="7F16F835">
      <w:pPr>
        <w:tabs>
          <w:tab w:val="center" w:pos="540"/>
          <w:tab w:val="center" w:pos="1080"/>
        </w:tabs>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d.</w:t>
      </w: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参比人应对申报业绩的真实性和准确性负责。在询比过程中，询比人有权对参比人申报的项目业绩进行核实和澄清，若参比人所申报资料内容有失实情况，则该参比人即被取消参选或中选资格。</w:t>
      </w:r>
      <w:bookmarkStart w:id="12" w:name="OLE_LINK28"/>
    </w:p>
    <w:bookmarkEnd w:id="12"/>
    <w:p w14:paraId="73A6CF96">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9.参选文件的正本和副本均需打（复）印或使用不褪色的蓝、黑墨水笔书写，字迹应清晰易于辨认，并应在投标文件封面上清楚的注明“正本”或“副本”。正本与副本如有不一致之处，则以正本为准。</w:t>
      </w:r>
    </w:p>
    <w:p w14:paraId="0122FFFF">
      <w:pPr>
        <w:pStyle w:val="2"/>
        <w:spacing w:line="440" w:lineRule="exact"/>
        <w:ind w:left="0" w:firstLine="480" w:firstLineChars="200"/>
        <w:rPr>
          <w:rFonts w:asciiTheme="majorEastAsia" w:hAnsiTheme="majorEastAsia" w:eastAsiaTheme="majorEastAsia"/>
          <w:b w:val="0"/>
          <w:sz w:val="24"/>
          <w:szCs w:val="24"/>
          <w:lang w:eastAsia="zh-CN"/>
        </w:rPr>
      </w:pPr>
      <w:r>
        <w:rPr>
          <w:rFonts w:hint="eastAsia" w:asciiTheme="majorEastAsia" w:hAnsiTheme="majorEastAsia" w:eastAsiaTheme="majorEastAsia"/>
          <w:b w:val="0"/>
          <w:sz w:val="24"/>
          <w:szCs w:val="24"/>
          <w:lang w:eastAsia="zh-CN"/>
        </w:rPr>
        <w:t>10. 参选文件正本应按要求由经正式授权的参比人代表签字并加盖参比人公章。副本可以用复印件。</w:t>
      </w:r>
    </w:p>
    <w:p w14:paraId="3009F235">
      <w:pPr>
        <w:rPr>
          <w:lang w:eastAsia="zh-CN"/>
        </w:rPr>
      </w:pPr>
    </w:p>
    <w:p w14:paraId="6F0340EC">
      <w:pPr>
        <w:pStyle w:val="2"/>
        <w:tabs>
          <w:tab w:val="left" w:pos="1488"/>
        </w:tabs>
        <w:spacing w:line="355" w:lineRule="exact"/>
        <w:ind w:left="365"/>
        <w:jc w:val="center"/>
        <w:rPr>
          <w:lang w:eastAsia="zh-CN"/>
        </w:rPr>
      </w:pPr>
    </w:p>
    <w:p w14:paraId="720D8F73">
      <w:pPr>
        <w:pStyle w:val="2"/>
        <w:tabs>
          <w:tab w:val="left" w:pos="1488"/>
        </w:tabs>
        <w:spacing w:line="355" w:lineRule="exact"/>
        <w:ind w:left="365"/>
        <w:jc w:val="center"/>
        <w:rPr>
          <w:lang w:eastAsia="zh-CN"/>
        </w:rPr>
      </w:pPr>
    </w:p>
    <w:p w14:paraId="2B63E9AB">
      <w:pPr>
        <w:pStyle w:val="2"/>
        <w:tabs>
          <w:tab w:val="left" w:pos="1488"/>
        </w:tabs>
        <w:spacing w:line="355" w:lineRule="exact"/>
        <w:ind w:left="365"/>
        <w:jc w:val="center"/>
        <w:rPr>
          <w:lang w:eastAsia="zh-CN"/>
        </w:rPr>
      </w:pPr>
    </w:p>
    <w:p w14:paraId="08332AF3">
      <w:pPr>
        <w:pStyle w:val="2"/>
        <w:tabs>
          <w:tab w:val="left" w:pos="1488"/>
        </w:tabs>
        <w:spacing w:line="355" w:lineRule="exact"/>
        <w:ind w:left="365"/>
        <w:jc w:val="center"/>
        <w:rPr>
          <w:lang w:eastAsia="zh-CN"/>
        </w:rPr>
      </w:pPr>
    </w:p>
    <w:p w14:paraId="47224AA6">
      <w:pPr>
        <w:pStyle w:val="2"/>
        <w:tabs>
          <w:tab w:val="left" w:pos="1488"/>
        </w:tabs>
        <w:spacing w:line="355" w:lineRule="exact"/>
        <w:ind w:left="365"/>
        <w:jc w:val="center"/>
        <w:rPr>
          <w:lang w:eastAsia="zh-CN"/>
        </w:rPr>
      </w:pPr>
    </w:p>
    <w:p w14:paraId="0318E249">
      <w:pPr>
        <w:pStyle w:val="2"/>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14:paraId="06F038B7">
      <w:pPr>
        <w:pStyle w:val="2"/>
        <w:spacing w:line="440" w:lineRule="exact"/>
        <w:ind w:left="0" w:firstLine="458" w:firstLineChars="200"/>
        <w:rPr>
          <w:rFonts w:asciiTheme="majorEastAsia" w:hAnsiTheme="majorEastAsia" w:eastAsiaTheme="majorEastAsia"/>
          <w:sz w:val="24"/>
          <w:szCs w:val="24"/>
          <w:lang w:eastAsia="zh-CN"/>
        </w:rPr>
      </w:pPr>
      <w:r>
        <w:rPr>
          <w:rFonts w:hint="eastAsia" w:asciiTheme="majorEastAsia" w:hAnsiTheme="majorEastAsia" w:eastAsiaTheme="majorEastAsia"/>
          <w:w w:val="95"/>
          <w:sz w:val="24"/>
          <w:szCs w:val="24"/>
          <w:lang w:eastAsia="zh-CN"/>
        </w:rPr>
        <w:t>一、</w:t>
      </w:r>
      <w:r>
        <w:rPr>
          <w:rFonts w:asciiTheme="majorEastAsia" w:hAnsiTheme="majorEastAsia" w:eastAsiaTheme="majorEastAsia"/>
          <w:w w:val="95"/>
          <w:sz w:val="24"/>
          <w:szCs w:val="24"/>
          <w:lang w:eastAsia="zh-CN"/>
        </w:rPr>
        <w:t>评选</w:t>
      </w:r>
    </w:p>
    <w:p w14:paraId="3A371D69">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1.</w:t>
      </w:r>
      <w:r>
        <w:rPr>
          <w:rFonts w:asciiTheme="majorEastAsia" w:hAnsiTheme="majorEastAsia" w:eastAsiaTheme="majorEastAsia"/>
          <w:spacing w:val="-5"/>
          <w:lang w:eastAsia="zh-CN"/>
        </w:rPr>
        <w:t>询比人将在参选文件截止日期后</w:t>
      </w:r>
      <w:r>
        <w:rPr>
          <w:rFonts w:hint="eastAsia" w:asciiTheme="majorEastAsia" w:hAnsiTheme="majorEastAsia" w:eastAsiaTheme="majorEastAsia"/>
          <w:spacing w:val="-5"/>
          <w:lang w:eastAsia="zh-CN"/>
        </w:rPr>
        <w:t>将</w:t>
      </w:r>
      <w:r>
        <w:rPr>
          <w:rFonts w:asciiTheme="majorEastAsia" w:hAnsiTheme="majorEastAsia" w:eastAsiaTheme="majorEastAsia"/>
          <w:spacing w:val="-5"/>
          <w:lang w:eastAsia="zh-CN"/>
        </w:rPr>
        <w:t>组织询比会，</w:t>
      </w:r>
      <w:r>
        <w:rPr>
          <w:rFonts w:hint="eastAsia" w:asciiTheme="majorEastAsia" w:hAnsiTheme="majorEastAsia" w:eastAsiaTheme="majorEastAsia"/>
          <w:spacing w:val="-5"/>
          <w:lang w:eastAsia="zh-CN"/>
        </w:rPr>
        <w:t>参比人</w:t>
      </w:r>
      <w:r>
        <w:rPr>
          <w:rFonts w:asciiTheme="majorEastAsia" w:hAnsiTheme="majorEastAsia" w:eastAsiaTheme="majorEastAsia"/>
          <w:spacing w:val="-5"/>
          <w:lang w:eastAsia="zh-CN"/>
        </w:rPr>
        <w:t>选定工作在询比人有关部门监督下，由询比人依法组建的评选</w:t>
      </w:r>
      <w:r>
        <w:rPr>
          <w:rFonts w:hint="eastAsia" w:asciiTheme="majorEastAsia" w:hAnsiTheme="majorEastAsia" w:eastAsiaTheme="majorEastAsia"/>
          <w:spacing w:val="-5"/>
          <w:lang w:eastAsia="zh-CN"/>
        </w:rPr>
        <w:t>小组</w:t>
      </w:r>
      <w:r>
        <w:rPr>
          <w:rFonts w:asciiTheme="majorEastAsia" w:hAnsiTheme="majorEastAsia" w:eastAsiaTheme="majorEastAsia"/>
          <w:spacing w:val="-5"/>
          <w:lang w:eastAsia="zh-CN"/>
        </w:rPr>
        <w:t>负责。</w:t>
      </w:r>
    </w:p>
    <w:p w14:paraId="70C0FCFE">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2.在开选时有启封和没</w:t>
      </w:r>
      <w:r>
        <w:rPr>
          <w:rFonts w:hint="eastAsia" w:asciiTheme="majorEastAsia" w:hAnsiTheme="majorEastAsia" w:eastAsiaTheme="majorEastAsia"/>
          <w:lang w:eastAsia="zh-CN"/>
        </w:rPr>
        <w:t>公章</w:t>
      </w:r>
      <w:r>
        <w:rPr>
          <w:rFonts w:asciiTheme="majorEastAsia" w:hAnsiTheme="majorEastAsia" w:eastAsiaTheme="majorEastAsia"/>
          <w:lang w:eastAsia="zh-CN"/>
        </w:rPr>
        <w:t>的参选文件，在评选时将不予考虑。</w:t>
      </w:r>
    </w:p>
    <w:p w14:paraId="7E2550E1">
      <w:pPr>
        <w:spacing w:line="440" w:lineRule="exact"/>
        <w:ind w:firstLine="480" w:firstLineChars="200"/>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3.询比人将做开选记录。</w:t>
      </w:r>
    </w:p>
    <w:p w14:paraId="5AFCC443">
      <w:pPr>
        <w:pStyle w:val="54"/>
        <w:adjustRightInd/>
        <w:spacing w:line="440" w:lineRule="exact"/>
        <w:ind w:firstLine="480"/>
        <w:jc w:val="left"/>
        <w:rPr>
          <w:rFonts w:asciiTheme="majorEastAsia" w:hAnsiTheme="majorEastAsia" w:eastAsiaTheme="majorEastAsia"/>
          <w:sz w:val="24"/>
          <w:szCs w:val="24"/>
        </w:rPr>
      </w:pPr>
      <w:r>
        <w:rPr>
          <w:rFonts w:asciiTheme="majorEastAsia" w:hAnsiTheme="majorEastAsia" w:eastAsiaTheme="majorEastAsia"/>
          <w:sz w:val="24"/>
          <w:szCs w:val="24"/>
        </w:rPr>
        <w:t>4.</w:t>
      </w:r>
      <w:r>
        <w:rPr>
          <w:rFonts w:hint="eastAsia" w:asciiTheme="majorEastAsia" w:hAnsiTheme="majorEastAsia" w:eastAsiaTheme="majorEastAsia"/>
          <w:sz w:val="24"/>
          <w:szCs w:val="24"/>
        </w:rPr>
        <w:t xml:space="preserve"> 询比人将根据评选结果与中选人签订合同。</w:t>
      </w:r>
    </w:p>
    <w:p w14:paraId="2BD4A564">
      <w:pPr>
        <w:pStyle w:val="54"/>
        <w:adjustRightInd/>
        <w:spacing w:line="440" w:lineRule="exact"/>
        <w:ind w:firstLine="480"/>
        <w:jc w:val="left"/>
        <w:rPr>
          <w:rFonts w:asciiTheme="majorEastAsia" w:hAnsiTheme="majorEastAsia" w:eastAsiaTheme="majorEastAsia"/>
          <w:sz w:val="24"/>
          <w:szCs w:val="24"/>
        </w:rPr>
      </w:pPr>
    </w:p>
    <w:p w14:paraId="066D592C">
      <w:pPr>
        <w:spacing w:line="440" w:lineRule="exact"/>
        <w:ind w:firstLine="458" w:firstLineChars="200"/>
        <w:rPr>
          <w:rFonts w:asciiTheme="majorEastAsia" w:hAnsiTheme="majorEastAsia" w:eastAsiaTheme="majorEastAsia"/>
          <w:b/>
          <w:sz w:val="24"/>
          <w:szCs w:val="24"/>
          <w:lang w:eastAsia="zh-CN"/>
        </w:rPr>
      </w:pPr>
      <w:r>
        <w:rPr>
          <w:rFonts w:hint="eastAsia" w:asciiTheme="majorEastAsia" w:hAnsiTheme="majorEastAsia" w:eastAsiaTheme="majorEastAsia"/>
          <w:b/>
          <w:w w:val="95"/>
          <w:sz w:val="24"/>
          <w:szCs w:val="24"/>
          <w:lang w:eastAsia="zh-CN"/>
        </w:rPr>
        <w:t>二</w:t>
      </w:r>
      <w:r>
        <w:rPr>
          <w:rFonts w:asciiTheme="majorEastAsia" w:hAnsiTheme="majorEastAsia" w:eastAsiaTheme="majorEastAsia"/>
          <w:b/>
          <w:w w:val="95"/>
          <w:sz w:val="24"/>
          <w:szCs w:val="24"/>
          <w:lang w:eastAsia="zh-CN"/>
        </w:rPr>
        <w:t>、规则：</w:t>
      </w:r>
    </w:p>
    <w:p w14:paraId="50FB6FAB">
      <w:pPr>
        <w:pStyle w:val="19"/>
        <w:spacing w:line="440" w:lineRule="exact"/>
        <w:ind w:firstLine="480"/>
        <w:rPr>
          <w:rFonts w:asciiTheme="majorEastAsia" w:hAnsiTheme="majorEastAsia" w:eastAsiaTheme="majorEastAsia"/>
          <w:spacing w:val="-11"/>
          <w:lang w:eastAsia="zh-CN"/>
        </w:rPr>
      </w:pPr>
      <w:r>
        <w:rPr>
          <w:rFonts w:asciiTheme="majorEastAsia" w:hAnsiTheme="majorEastAsia" w:eastAsiaTheme="majorEastAsia"/>
          <w:lang w:eastAsia="zh-CN"/>
        </w:rPr>
        <w:t>1. 询比人将</w:t>
      </w:r>
      <w:r>
        <w:rPr>
          <w:rFonts w:hint="eastAsia" w:asciiTheme="majorEastAsia" w:hAnsiTheme="majorEastAsia" w:eastAsiaTheme="majorEastAsia"/>
          <w:lang w:eastAsia="zh-CN"/>
        </w:rPr>
        <w:t>先对参比人的资质进行评选，参比人资质符合询比人要求后，方可进行下一轮商务报价评选。</w:t>
      </w:r>
    </w:p>
    <w:p w14:paraId="039EDA9F">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2.</w:t>
      </w:r>
      <w:r>
        <w:rPr>
          <w:rFonts w:hint="eastAsia" w:asciiTheme="majorEastAsia" w:hAnsiTheme="majorEastAsia" w:eastAsiaTheme="majorEastAsia"/>
          <w:lang w:eastAsia="zh-CN"/>
        </w:rPr>
        <w:t>参比人</w:t>
      </w:r>
      <w:r>
        <w:rPr>
          <w:rFonts w:asciiTheme="majorEastAsia" w:hAnsiTheme="majorEastAsia" w:eastAsiaTheme="majorEastAsia"/>
          <w:lang w:eastAsia="zh-CN"/>
        </w:rPr>
        <w:t>串选、相互勾结故意压低标价以排挤竞争对手的公平竞争的，其参选无效。</w:t>
      </w:r>
    </w:p>
    <w:p w14:paraId="0E4EF691">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3.</w:t>
      </w:r>
      <w:r>
        <w:rPr>
          <w:rFonts w:asciiTheme="majorEastAsia" w:hAnsiTheme="majorEastAsia" w:eastAsiaTheme="majorEastAsia"/>
          <w:spacing w:val="-8"/>
          <w:lang w:eastAsia="zh-CN"/>
        </w:rPr>
        <w:t>替补候选人的设定与使用：在合同签订前，询比单位发现</w:t>
      </w:r>
      <w:r>
        <w:rPr>
          <w:rFonts w:hint="eastAsia" w:asciiTheme="majorEastAsia" w:hAnsiTheme="majorEastAsia" w:eastAsiaTheme="majorEastAsia"/>
          <w:spacing w:val="-8"/>
          <w:lang w:eastAsia="zh-CN"/>
        </w:rPr>
        <w:t>参比人</w:t>
      </w:r>
      <w:r>
        <w:rPr>
          <w:rFonts w:asciiTheme="majorEastAsia" w:hAnsiTheme="majorEastAsia" w:eastAsiaTheme="majorEastAsia"/>
          <w:spacing w:val="-8"/>
          <w:lang w:eastAsia="zh-CN"/>
        </w:rPr>
        <w:t>的参选报价或供货</w:t>
      </w:r>
      <w:r>
        <w:rPr>
          <w:rFonts w:asciiTheme="majorEastAsia" w:hAnsiTheme="majorEastAsia" w:eastAsiaTheme="majorEastAsia"/>
          <w:spacing w:val="-12"/>
          <w:lang w:eastAsia="zh-CN"/>
        </w:rPr>
        <w:t>范围有缺漏、实际应标产品或服务存在重大偏差、或参选材料存在欺诈行为时、或</w:t>
      </w:r>
      <w:r>
        <w:rPr>
          <w:rFonts w:hint="eastAsia" w:asciiTheme="majorEastAsia" w:hAnsiTheme="majorEastAsia" w:eastAsiaTheme="majorEastAsia"/>
          <w:spacing w:val="-12"/>
          <w:lang w:eastAsia="zh-CN"/>
        </w:rPr>
        <w:t>参比人</w:t>
      </w:r>
      <w:r>
        <w:rPr>
          <w:rFonts w:asciiTheme="majorEastAsia" w:hAnsiTheme="majorEastAsia" w:eastAsiaTheme="majorEastAsia"/>
          <w:spacing w:val="-22"/>
          <w:lang w:eastAsia="zh-CN"/>
        </w:rPr>
        <w:t>因不可抗力或自身原因不能履行合同的，将有理由取消中选人资格，保留依法追究的权利；</w:t>
      </w:r>
      <w:r>
        <w:rPr>
          <w:rFonts w:asciiTheme="majorEastAsia" w:hAnsiTheme="majorEastAsia" w:eastAsiaTheme="majorEastAsia"/>
          <w:lang w:eastAsia="zh-CN"/>
        </w:rPr>
        <w:t>并将依法</w:t>
      </w:r>
      <w:r>
        <w:rPr>
          <w:rFonts w:hint="eastAsia" w:asciiTheme="majorEastAsia" w:hAnsiTheme="majorEastAsia" w:eastAsiaTheme="majorEastAsia"/>
          <w:lang w:eastAsia="zh-CN"/>
        </w:rPr>
        <w:t>确定后续排名的中选候选人，或重新进行询比</w:t>
      </w:r>
      <w:r>
        <w:rPr>
          <w:rFonts w:asciiTheme="majorEastAsia" w:hAnsiTheme="majorEastAsia" w:eastAsiaTheme="majorEastAsia"/>
          <w:lang w:eastAsia="zh-CN"/>
        </w:rPr>
        <w:t>。</w:t>
      </w:r>
    </w:p>
    <w:p w14:paraId="0F42D15D">
      <w:pPr>
        <w:pStyle w:val="19"/>
        <w:spacing w:line="440" w:lineRule="exact"/>
        <w:ind w:firstLine="480"/>
        <w:rPr>
          <w:rFonts w:asciiTheme="majorEastAsia" w:hAnsiTheme="majorEastAsia" w:eastAsiaTheme="majorEastAsia"/>
          <w:b/>
          <w:lang w:eastAsia="zh-CN"/>
        </w:rPr>
      </w:pPr>
      <w:r>
        <w:rPr>
          <w:rFonts w:hint="eastAsia" w:asciiTheme="majorEastAsia" w:hAnsiTheme="majorEastAsia" w:eastAsiaTheme="majorEastAsia"/>
          <w:b/>
          <w:w w:val="95"/>
          <w:lang w:eastAsia="zh-CN"/>
        </w:rPr>
        <w:t>三</w:t>
      </w:r>
      <w:r>
        <w:rPr>
          <w:rFonts w:asciiTheme="majorEastAsia" w:hAnsiTheme="majorEastAsia" w:eastAsiaTheme="majorEastAsia"/>
          <w:b/>
          <w:w w:val="95"/>
          <w:lang w:eastAsia="zh-CN"/>
        </w:rPr>
        <w:t>、资格审查：</w:t>
      </w:r>
    </w:p>
    <w:p w14:paraId="3B1A044C">
      <w:pPr>
        <w:pStyle w:val="19"/>
        <w:spacing w:line="440" w:lineRule="exact"/>
        <w:ind w:right="-238" w:rightChars="-108" w:firstLine="480"/>
        <w:rPr>
          <w:rFonts w:asciiTheme="majorEastAsia" w:hAnsiTheme="majorEastAsia" w:eastAsiaTheme="majorEastAsia"/>
          <w:lang w:eastAsia="zh-CN"/>
        </w:rPr>
      </w:pPr>
      <w:r>
        <w:rPr>
          <w:rFonts w:asciiTheme="majorEastAsia" w:hAnsiTheme="majorEastAsia" w:eastAsiaTheme="majorEastAsia"/>
          <w:spacing w:val="-5"/>
          <w:lang w:eastAsia="zh-CN"/>
        </w:rPr>
        <w:t>由询比人依法组建的评选委员会将按照第二章询比须知第六点“</w:t>
      </w:r>
      <w:r>
        <w:rPr>
          <w:rFonts w:hint="eastAsia" w:asciiTheme="majorEastAsia" w:hAnsiTheme="majorEastAsia" w:eastAsiaTheme="majorEastAsia"/>
          <w:spacing w:val="-5"/>
          <w:lang w:eastAsia="zh-CN"/>
        </w:rPr>
        <w:t>参比人</w:t>
      </w:r>
      <w:r>
        <w:rPr>
          <w:rFonts w:asciiTheme="majorEastAsia" w:hAnsiTheme="majorEastAsia" w:eastAsiaTheme="majorEastAsia"/>
          <w:spacing w:val="-5"/>
          <w:lang w:eastAsia="zh-CN"/>
        </w:rPr>
        <w:t>资格”的要求</w:t>
      </w:r>
      <w:r>
        <w:rPr>
          <w:rFonts w:asciiTheme="majorEastAsia" w:hAnsiTheme="majorEastAsia" w:eastAsiaTheme="majorEastAsia"/>
          <w:spacing w:val="-11"/>
          <w:lang w:eastAsia="zh-CN"/>
        </w:rPr>
        <w:t>对</w:t>
      </w:r>
      <w:r>
        <w:rPr>
          <w:rFonts w:hint="eastAsia" w:asciiTheme="majorEastAsia" w:hAnsiTheme="majorEastAsia" w:eastAsiaTheme="majorEastAsia"/>
          <w:spacing w:val="-11"/>
          <w:lang w:eastAsia="zh-CN"/>
        </w:rPr>
        <w:t>参比人</w:t>
      </w:r>
      <w:r>
        <w:rPr>
          <w:rFonts w:asciiTheme="majorEastAsia" w:hAnsiTheme="majorEastAsia" w:eastAsiaTheme="majorEastAsia"/>
          <w:spacing w:val="-11"/>
          <w:lang w:eastAsia="zh-CN"/>
        </w:rPr>
        <w:t>进行资格审查，以确定是否为符合询比文件规定要求的合格</w:t>
      </w:r>
      <w:r>
        <w:rPr>
          <w:rFonts w:hint="eastAsia" w:asciiTheme="majorEastAsia" w:hAnsiTheme="majorEastAsia" w:eastAsiaTheme="majorEastAsia"/>
          <w:spacing w:val="-11"/>
          <w:lang w:eastAsia="zh-CN"/>
        </w:rPr>
        <w:t>参比人</w:t>
      </w:r>
      <w:r>
        <w:rPr>
          <w:rFonts w:asciiTheme="majorEastAsia" w:hAnsiTheme="majorEastAsia" w:eastAsiaTheme="majorEastAsia"/>
          <w:spacing w:val="-11"/>
          <w:lang w:eastAsia="zh-CN"/>
        </w:rPr>
        <w:t>，同时，评选</w:t>
      </w:r>
      <w:r>
        <w:rPr>
          <w:rFonts w:asciiTheme="majorEastAsia" w:hAnsiTheme="majorEastAsia" w:eastAsiaTheme="majorEastAsia"/>
          <w:spacing w:val="-14"/>
          <w:lang w:eastAsia="zh-CN"/>
        </w:rPr>
        <w:t>委员会将依据</w:t>
      </w:r>
      <w:r>
        <w:rPr>
          <w:rFonts w:hint="eastAsia" w:asciiTheme="majorEastAsia" w:hAnsiTheme="majorEastAsia" w:eastAsiaTheme="majorEastAsia"/>
          <w:spacing w:val="-14"/>
          <w:lang w:eastAsia="zh-CN"/>
        </w:rPr>
        <w:t>参比人</w:t>
      </w:r>
      <w:r>
        <w:rPr>
          <w:rFonts w:asciiTheme="majorEastAsia" w:hAnsiTheme="majorEastAsia" w:eastAsiaTheme="majorEastAsia"/>
          <w:spacing w:val="-14"/>
          <w:lang w:eastAsia="zh-CN"/>
        </w:rPr>
        <w:t>提供的资格证明文件审查</w:t>
      </w:r>
      <w:r>
        <w:rPr>
          <w:rFonts w:hint="eastAsia" w:asciiTheme="majorEastAsia" w:hAnsiTheme="majorEastAsia" w:eastAsiaTheme="majorEastAsia"/>
          <w:spacing w:val="-14"/>
          <w:lang w:eastAsia="zh-CN"/>
        </w:rPr>
        <w:t>参比人</w:t>
      </w:r>
      <w:r>
        <w:rPr>
          <w:rFonts w:asciiTheme="majorEastAsia" w:hAnsiTheme="majorEastAsia" w:eastAsiaTheme="majorEastAsia"/>
          <w:spacing w:val="-14"/>
          <w:lang w:eastAsia="zh-CN"/>
        </w:rPr>
        <w:t>的法人资格、营业范围、财务，以确</w:t>
      </w:r>
      <w:r>
        <w:rPr>
          <w:rFonts w:asciiTheme="majorEastAsia" w:hAnsiTheme="majorEastAsia" w:eastAsiaTheme="majorEastAsia"/>
          <w:spacing w:val="-18"/>
          <w:lang w:eastAsia="zh-CN"/>
        </w:rPr>
        <w:t>定</w:t>
      </w:r>
      <w:r>
        <w:rPr>
          <w:rFonts w:hint="eastAsia" w:asciiTheme="majorEastAsia" w:hAnsiTheme="majorEastAsia" w:eastAsiaTheme="majorEastAsia"/>
          <w:spacing w:val="-18"/>
          <w:lang w:eastAsia="zh-CN"/>
        </w:rPr>
        <w:t>参比人</w:t>
      </w:r>
      <w:r>
        <w:rPr>
          <w:rFonts w:asciiTheme="majorEastAsia" w:hAnsiTheme="majorEastAsia" w:eastAsiaTheme="majorEastAsia"/>
          <w:spacing w:val="-18"/>
          <w:lang w:eastAsia="zh-CN"/>
        </w:rPr>
        <w:t>是否有资格履行合同。经上述资格审查合格的</w:t>
      </w:r>
      <w:r>
        <w:rPr>
          <w:rFonts w:hint="eastAsia" w:asciiTheme="majorEastAsia" w:hAnsiTheme="majorEastAsia" w:eastAsiaTheme="majorEastAsia"/>
          <w:spacing w:val="-18"/>
          <w:lang w:eastAsia="zh-CN"/>
        </w:rPr>
        <w:t>参比人</w:t>
      </w:r>
      <w:r>
        <w:rPr>
          <w:rFonts w:asciiTheme="majorEastAsia" w:hAnsiTheme="majorEastAsia" w:eastAsiaTheme="majorEastAsia"/>
          <w:spacing w:val="-18"/>
          <w:lang w:eastAsia="zh-CN"/>
        </w:rPr>
        <w:t>进入下一程序的评审，经上述资格审查不合格的参选文件，其参选资格将被评选委员会予以否决。</w:t>
      </w:r>
    </w:p>
    <w:p w14:paraId="7832ADB7">
      <w:pPr>
        <w:pStyle w:val="2"/>
        <w:spacing w:line="440" w:lineRule="exact"/>
        <w:ind w:left="0" w:firstLine="458" w:firstLineChars="200"/>
        <w:rPr>
          <w:rFonts w:asciiTheme="majorEastAsia" w:hAnsiTheme="majorEastAsia" w:eastAsiaTheme="majorEastAsia"/>
          <w:w w:val="95"/>
          <w:sz w:val="24"/>
          <w:szCs w:val="24"/>
          <w:lang w:eastAsia="zh-CN"/>
        </w:rPr>
      </w:pPr>
      <w:r>
        <w:rPr>
          <w:rFonts w:hint="eastAsia" w:asciiTheme="majorEastAsia" w:hAnsiTheme="majorEastAsia" w:eastAsiaTheme="majorEastAsia"/>
          <w:w w:val="95"/>
          <w:sz w:val="24"/>
          <w:szCs w:val="24"/>
          <w:lang w:eastAsia="zh-CN"/>
        </w:rPr>
        <w:t>四</w:t>
      </w:r>
      <w:r>
        <w:rPr>
          <w:rFonts w:asciiTheme="majorEastAsia" w:hAnsiTheme="majorEastAsia" w:eastAsiaTheme="majorEastAsia"/>
          <w:w w:val="95"/>
          <w:sz w:val="24"/>
          <w:szCs w:val="24"/>
          <w:lang w:eastAsia="zh-CN"/>
        </w:rPr>
        <w:t>、评选办法：</w:t>
      </w:r>
    </w:p>
    <w:p w14:paraId="6C06F75C">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评选</w:t>
      </w:r>
      <w:r>
        <w:rPr>
          <w:rFonts w:hint="eastAsia" w:asciiTheme="majorEastAsia" w:hAnsiTheme="majorEastAsia" w:eastAsiaTheme="majorEastAsia"/>
          <w:lang w:eastAsia="zh-CN"/>
        </w:rPr>
        <w:t>小组</w:t>
      </w:r>
      <w:r>
        <w:rPr>
          <w:rFonts w:asciiTheme="majorEastAsia" w:hAnsiTheme="majorEastAsia" w:eastAsiaTheme="majorEastAsia"/>
          <w:lang w:eastAsia="zh-CN"/>
        </w:rPr>
        <w:t>将对通过资格审查</w:t>
      </w:r>
      <w:r>
        <w:rPr>
          <w:rFonts w:hint="eastAsia" w:asciiTheme="majorEastAsia" w:hAnsiTheme="majorEastAsia" w:eastAsiaTheme="majorEastAsia"/>
          <w:lang w:eastAsia="zh-CN"/>
        </w:rPr>
        <w:t>合格</w:t>
      </w:r>
      <w:r>
        <w:rPr>
          <w:rFonts w:asciiTheme="majorEastAsia" w:hAnsiTheme="majorEastAsia" w:eastAsiaTheme="majorEastAsia"/>
          <w:lang w:eastAsia="zh-CN"/>
        </w:rPr>
        <w:t>的各</w:t>
      </w:r>
      <w:r>
        <w:rPr>
          <w:rFonts w:hint="eastAsia" w:asciiTheme="majorEastAsia" w:hAnsiTheme="majorEastAsia" w:eastAsiaTheme="majorEastAsia"/>
          <w:lang w:eastAsia="zh-CN"/>
        </w:rPr>
        <w:t>参比人，在控制价格（￥18</w:t>
      </w:r>
      <w:r>
        <w:rPr>
          <w:rFonts w:asciiTheme="majorEastAsia" w:hAnsiTheme="majorEastAsia" w:eastAsiaTheme="majorEastAsia"/>
          <w:lang w:eastAsia="zh-CN"/>
        </w:rPr>
        <w:t>0000</w:t>
      </w:r>
      <w:r>
        <w:rPr>
          <w:rFonts w:hint="eastAsia" w:asciiTheme="majorEastAsia" w:hAnsiTheme="majorEastAsia" w:eastAsiaTheme="majorEastAsia"/>
          <w:lang w:eastAsia="zh-CN"/>
        </w:rPr>
        <w:t>.00元，含税）范围内，</w:t>
      </w:r>
      <w:r>
        <w:rPr>
          <w:rFonts w:hint="eastAsia" w:asciiTheme="majorEastAsia" w:hAnsiTheme="majorEastAsia" w:eastAsiaTheme="majorEastAsia"/>
          <w:spacing w:val="-2"/>
          <w:lang w:eastAsia="zh-CN"/>
        </w:rPr>
        <w:t>采用综合评分法，</w:t>
      </w:r>
      <w:r>
        <w:rPr>
          <w:rFonts w:hint="eastAsia" w:asciiTheme="majorEastAsia" w:hAnsiTheme="majorEastAsia" w:eastAsiaTheme="majorEastAsia"/>
          <w:lang w:eastAsia="zh-CN"/>
        </w:rPr>
        <w:t>综合评分最高者作为第一候选人，次之为第二候选人。</w:t>
      </w:r>
    </w:p>
    <w:p w14:paraId="084E2A42">
      <w:pPr>
        <w:pStyle w:val="19"/>
        <w:spacing w:line="440" w:lineRule="exact"/>
        <w:ind w:firstLine="498" w:firstLineChars="210"/>
        <w:rPr>
          <w:rFonts w:asciiTheme="majorEastAsia" w:hAnsiTheme="majorEastAsia" w:eastAsiaTheme="majorEastAsia"/>
          <w:b/>
          <w:spacing w:val="-2"/>
          <w:lang w:eastAsia="zh-CN"/>
        </w:rPr>
      </w:pPr>
      <w:r>
        <w:rPr>
          <w:rFonts w:hint="eastAsia" w:asciiTheme="majorEastAsia" w:hAnsiTheme="majorEastAsia" w:eastAsiaTheme="majorEastAsia"/>
          <w:b/>
          <w:spacing w:val="-2"/>
          <w:lang w:eastAsia="zh-CN"/>
        </w:rPr>
        <w:t>评标小组按照先技术，后商务的顺序进行评议并评分。</w:t>
      </w:r>
    </w:p>
    <w:p w14:paraId="4B10E933">
      <w:pPr>
        <w:spacing w:line="440" w:lineRule="exact"/>
        <w:ind w:firstLine="472" w:firstLineChars="200"/>
        <w:rPr>
          <w:rFonts w:asciiTheme="majorEastAsia" w:hAnsiTheme="majorEastAsia" w:eastAsiaTheme="majorEastAsia"/>
          <w:spacing w:val="-2"/>
          <w:sz w:val="24"/>
          <w:szCs w:val="24"/>
          <w:lang w:eastAsia="zh-CN"/>
        </w:rPr>
      </w:pPr>
      <w:r>
        <w:rPr>
          <w:rFonts w:hint="eastAsia" w:asciiTheme="majorEastAsia" w:hAnsiTheme="majorEastAsia" w:eastAsiaTheme="majorEastAsia"/>
          <w:spacing w:val="-2"/>
          <w:sz w:val="24"/>
          <w:szCs w:val="24"/>
          <w:lang w:eastAsia="zh-CN"/>
        </w:rPr>
        <w:t>4.1 评分办法</w:t>
      </w:r>
    </w:p>
    <w:p w14:paraId="7A5DB4C6">
      <w:pPr>
        <w:pStyle w:val="19"/>
        <w:spacing w:line="440" w:lineRule="exact"/>
        <w:ind w:firstLine="495" w:firstLineChars="210"/>
        <w:rPr>
          <w:rFonts w:asciiTheme="majorEastAsia" w:hAnsiTheme="majorEastAsia" w:eastAsiaTheme="majorEastAsia"/>
          <w:spacing w:val="-2"/>
          <w:lang w:eastAsia="zh-CN"/>
        </w:rPr>
      </w:pPr>
      <w:r>
        <w:rPr>
          <w:rFonts w:hint="eastAsia" w:asciiTheme="majorEastAsia" w:hAnsiTheme="majorEastAsia" w:eastAsiaTheme="majorEastAsia"/>
          <w:spacing w:val="-2"/>
          <w:lang w:eastAsia="zh-CN"/>
        </w:rPr>
        <w:t>4.1.1 评分采用百分制，各专项所占分值见下表：</w:t>
      </w:r>
    </w:p>
    <w:p w14:paraId="6E08ACB7">
      <w:pPr>
        <w:spacing w:line="440" w:lineRule="exact"/>
        <w:ind w:firstLine="720" w:firstLineChars="3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商务部分评分           满分</w:t>
      </w:r>
      <w:r>
        <w:rPr>
          <w:rFonts w:asciiTheme="majorEastAsia" w:hAnsiTheme="majorEastAsia" w:eastAsiaTheme="majorEastAsia"/>
          <w:sz w:val="24"/>
          <w:szCs w:val="24"/>
          <w:lang w:eastAsia="zh-CN"/>
        </w:rPr>
        <w:t>10</w:t>
      </w:r>
      <w:r>
        <w:rPr>
          <w:rFonts w:hint="eastAsia" w:asciiTheme="majorEastAsia" w:hAnsiTheme="majorEastAsia" w:eastAsiaTheme="majorEastAsia"/>
          <w:sz w:val="24"/>
          <w:szCs w:val="24"/>
          <w:lang w:eastAsia="zh-CN"/>
        </w:rPr>
        <w:t>分</w:t>
      </w:r>
    </w:p>
    <w:p w14:paraId="4A4BB428">
      <w:pPr>
        <w:spacing w:line="440" w:lineRule="exact"/>
        <w:ind w:firstLine="720" w:firstLineChars="3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技术部分评分           满分</w:t>
      </w:r>
      <w:r>
        <w:rPr>
          <w:rFonts w:asciiTheme="majorEastAsia" w:hAnsiTheme="majorEastAsia" w:eastAsiaTheme="majorEastAsia"/>
          <w:sz w:val="24"/>
          <w:szCs w:val="24"/>
          <w:lang w:eastAsia="zh-CN"/>
        </w:rPr>
        <w:t>20</w:t>
      </w:r>
      <w:r>
        <w:rPr>
          <w:rFonts w:hint="eastAsia" w:asciiTheme="majorEastAsia" w:hAnsiTheme="majorEastAsia" w:eastAsiaTheme="majorEastAsia"/>
          <w:sz w:val="24"/>
          <w:szCs w:val="24"/>
          <w:lang w:eastAsia="zh-CN"/>
        </w:rPr>
        <w:t>分</w:t>
      </w:r>
    </w:p>
    <w:p w14:paraId="56869D8D">
      <w:pPr>
        <w:pStyle w:val="54"/>
        <w:adjustRightInd/>
        <w:spacing w:line="440" w:lineRule="exact"/>
        <w:jc w:val="left"/>
        <w:rPr>
          <w:rFonts w:asciiTheme="majorEastAsia" w:hAnsiTheme="majorEastAsia" w:eastAsiaTheme="majorEastAsia"/>
          <w:sz w:val="24"/>
          <w:szCs w:val="24"/>
        </w:rPr>
      </w:pPr>
      <w:r>
        <w:rPr>
          <w:rFonts w:hint="eastAsia" w:asciiTheme="majorEastAsia" w:hAnsiTheme="majorEastAsia" w:eastAsiaTheme="majorEastAsia"/>
          <w:sz w:val="24"/>
          <w:szCs w:val="24"/>
        </w:rPr>
        <w:t xml:space="preserve"> </w:t>
      </w:r>
      <w:r>
        <w:rPr>
          <w:rFonts w:asciiTheme="majorEastAsia" w:hAnsiTheme="majorEastAsia" w:eastAsiaTheme="majorEastAsia"/>
          <w:sz w:val="24"/>
          <w:szCs w:val="24"/>
        </w:rPr>
        <w:t xml:space="preserve">     报价部分评分</w:t>
      </w:r>
      <w:r>
        <w:rPr>
          <w:rFonts w:hint="eastAsia" w:asciiTheme="majorEastAsia" w:hAnsiTheme="majorEastAsia" w:eastAsiaTheme="majorEastAsia"/>
          <w:sz w:val="24"/>
          <w:szCs w:val="24"/>
        </w:rPr>
        <w:t xml:space="preserve"> </w:t>
      </w:r>
      <w:r>
        <w:rPr>
          <w:rFonts w:asciiTheme="majorEastAsia" w:hAnsiTheme="majorEastAsia" w:eastAsiaTheme="majorEastAsia"/>
          <w:sz w:val="24"/>
          <w:szCs w:val="24"/>
        </w:rPr>
        <w:t xml:space="preserve">          满分70分</w:t>
      </w:r>
    </w:p>
    <w:p w14:paraId="03ABDE90">
      <w:pPr>
        <w:spacing w:line="440" w:lineRule="exact"/>
        <w:ind w:left="720" w:right="-521" w:rightChars="-237" w:hanging="720" w:hangingChars="3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注: ①最终得分为各个评标委员会评分的算术平均值，并四舍五入取小数点后2位数。</w:t>
      </w:r>
    </w:p>
    <w:p w14:paraId="4A9A0E20">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②评标委员会评分取小数点后1位数。</w:t>
      </w:r>
    </w:p>
    <w:p w14:paraId="2D029800">
      <w:pPr>
        <w:spacing w:line="440" w:lineRule="exact"/>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综合得分：P＝商务得分+技术得分+报价得分</w:t>
      </w:r>
    </w:p>
    <w:p w14:paraId="7434BEB8">
      <w:pPr>
        <w:spacing w:line="440" w:lineRule="exact"/>
        <w:rPr>
          <w:rFonts w:asciiTheme="majorEastAsia" w:hAnsiTheme="majorEastAsia" w:eastAsiaTheme="majorEastAsia"/>
          <w:sz w:val="24"/>
          <w:szCs w:val="24"/>
          <w:lang w:eastAsia="zh-CN"/>
        </w:rPr>
      </w:pPr>
      <w:r>
        <w:rPr>
          <w:rFonts w:hint="eastAsia" w:asciiTheme="majorEastAsia" w:hAnsiTheme="majorEastAsia" w:eastAsiaTheme="majorEastAsia"/>
          <w:spacing w:val="-2"/>
          <w:sz w:val="24"/>
          <w:szCs w:val="24"/>
          <w:lang w:eastAsia="zh-CN"/>
        </w:rPr>
        <w:t>4.1.2</w:t>
      </w:r>
      <w:r>
        <w:rPr>
          <w:rFonts w:hint="eastAsia" w:asciiTheme="majorEastAsia" w:hAnsiTheme="majorEastAsia" w:eastAsiaTheme="majorEastAsia"/>
          <w:sz w:val="24"/>
          <w:szCs w:val="24"/>
        </w:rPr>
        <w:t xml:space="preserve"> 评分标准见下表</w:t>
      </w:r>
      <w:r>
        <w:rPr>
          <w:rFonts w:hint="eastAsia" w:asciiTheme="majorEastAsia" w:hAnsiTheme="majorEastAsia" w:eastAsiaTheme="majorEastAsia"/>
          <w:sz w:val="24"/>
          <w:szCs w:val="24"/>
          <w:lang w:eastAsia="zh-CN"/>
        </w:rPr>
        <w:t>：</w:t>
      </w:r>
    </w:p>
    <w:tbl>
      <w:tblPr>
        <w:tblStyle w:val="46"/>
        <w:tblW w:w="8879" w:type="dxa"/>
        <w:tblInd w:w="5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5162"/>
        <w:gridCol w:w="2918"/>
      </w:tblGrid>
      <w:tr w14:paraId="54D82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99" w:type="dxa"/>
            <w:vAlign w:val="center"/>
          </w:tcPr>
          <w:p w14:paraId="7C69D32A">
            <w:pPr>
              <w:snapToGrid w:val="0"/>
              <w:spacing w:line="400" w:lineRule="atLeast"/>
              <w:jc w:val="center"/>
              <w:rPr>
                <w:sz w:val="21"/>
                <w:szCs w:val="21"/>
              </w:rPr>
            </w:pPr>
            <w:r>
              <w:rPr>
                <w:rFonts w:hint="eastAsia"/>
                <w:sz w:val="21"/>
                <w:szCs w:val="21"/>
              </w:rPr>
              <w:t>序号</w:t>
            </w:r>
          </w:p>
        </w:tc>
        <w:tc>
          <w:tcPr>
            <w:tcW w:w="5162" w:type="dxa"/>
            <w:vAlign w:val="center"/>
          </w:tcPr>
          <w:p w14:paraId="7FC06EDB">
            <w:pPr>
              <w:snapToGrid w:val="0"/>
              <w:spacing w:line="400" w:lineRule="atLeast"/>
              <w:jc w:val="center"/>
              <w:rPr>
                <w:sz w:val="21"/>
                <w:szCs w:val="21"/>
              </w:rPr>
            </w:pPr>
            <w:r>
              <w:rPr>
                <w:rFonts w:hint="eastAsia"/>
                <w:sz w:val="21"/>
                <w:szCs w:val="21"/>
              </w:rPr>
              <w:t>评分项目</w:t>
            </w:r>
          </w:p>
        </w:tc>
        <w:tc>
          <w:tcPr>
            <w:tcW w:w="2918" w:type="dxa"/>
            <w:vAlign w:val="center"/>
          </w:tcPr>
          <w:p w14:paraId="056F5387">
            <w:pPr>
              <w:snapToGrid w:val="0"/>
              <w:spacing w:line="400" w:lineRule="atLeast"/>
              <w:jc w:val="center"/>
              <w:rPr>
                <w:sz w:val="21"/>
                <w:szCs w:val="21"/>
                <w:lang w:eastAsia="zh-CN"/>
              </w:rPr>
            </w:pPr>
            <w:r>
              <w:rPr>
                <w:rFonts w:hint="eastAsia"/>
                <w:sz w:val="21"/>
                <w:szCs w:val="21"/>
              </w:rPr>
              <w:t>分数</w:t>
            </w:r>
            <w:r>
              <w:rPr>
                <w:rFonts w:hint="eastAsia"/>
                <w:sz w:val="21"/>
                <w:szCs w:val="21"/>
                <w:lang w:eastAsia="zh-CN"/>
              </w:rPr>
              <w:t>（满分100分）</w:t>
            </w:r>
          </w:p>
        </w:tc>
      </w:tr>
      <w:tr w14:paraId="5A7D1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99" w:type="dxa"/>
            <w:vAlign w:val="center"/>
          </w:tcPr>
          <w:p w14:paraId="7A0160E9">
            <w:pPr>
              <w:snapToGrid w:val="0"/>
              <w:spacing w:line="400" w:lineRule="atLeast"/>
              <w:jc w:val="center"/>
              <w:rPr>
                <w:sz w:val="21"/>
                <w:szCs w:val="21"/>
              </w:rPr>
            </w:pPr>
            <w:r>
              <w:rPr>
                <w:rFonts w:hint="eastAsia"/>
                <w:sz w:val="21"/>
                <w:szCs w:val="21"/>
              </w:rPr>
              <w:t>1</w:t>
            </w:r>
          </w:p>
        </w:tc>
        <w:tc>
          <w:tcPr>
            <w:tcW w:w="5162" w:type="dxa"/>
            <w:vAlign w:val="center"/>
          </w:tcPr>
          <w:p w14:paraId="0BEE0F6A">
            <w:pPr>
              <w:snapToGrid w:val="0"/>
              <w:spacing w:line="400" w:lineRule="atLeast"/>
              <w:jc w:val="center"/>
              <w:rPr>
                <w:sz w:val="21"/>
                <w:szCs w:val="21"/>
              </w:rPr>
            </w:pPr>
            <w:r>
              <w:rPr>
                <w:rFonts w:hint="eastAsia"/>
                <w:spacing w:val="-2"/>
                <w:sz w:val="21"/>
                <w:szCs w:val="21"/>
              </w:rPr>
              <w:t>技术部分</w:t>
            </w:r>
          </w:p>
        </w:tc>
        <w:tc>
          <w:tcPr>
            <w:tcW w:w="2918" w:type="dxa"/>
            <w:vAlign w:val="center"/>
          </w:tcPr>
          <w:p w14:paraId="02A3EE9F">
            <w:pPr>
              <w:snapToGrid w:val="0"/>
              <w:spacing w:line="400" w:lineRule="atLeast"/>
              <w:jc w:val="center"/>
              <w:rPr>
                <w:sz w:val="21"/>
                <w:szCs w:val="21"/>
              </w:rPr>
            </w:pPr>
            <w:r>
              <w:rPr>
                <w:sz w:val="21"/>
                <w:szCs w:val="21"/>
                <w:lang w:eastAsia="zh-CN"/>
              </w:rPr>
              <w:t>20</w:t>
            </w:r>
            <w:r>
              <w:rPr>
                <w:rFonts w:hint="eastAsia"/>
                <w:sz w:val="21"/>
                <w:szCs w:val="21"/>
                <w:lang w:eastAsia="zh-CN"/>
              </w:rPr>
              <w:t>分</w:t>
            </w:r>
          </w:p>
        </w:tc>
      </w:tr>
      <w:tr w14:paraId="548CE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99" w:type="dxa"/>
            <w:vAlign w:val="center"/>
          </w:tcPr>
          <w:p w14:paraId="29CD95E2">
            <w:pPr>
              <w:snapToGrid w:val="0"/>
              <w:spacing w:line="400" w:lineRule="atLeast"/>
              <w:jc w:val="center"/>
              <w:rPr>
                <w:sz w:val="21"/>
                <w:szCs w:val="21"/>
              </w:rPr>
            </w:pPr>
            <w:r>
              <w:rPr>
                <w:rFonts w:hint="eastAsia"/>
                <w:sz w:val="21"/>
                <w:szCs w:val="21"/>
              </w:rPr>
              <w:t>2</w:t>
            </w:r>
          </w:p>
        </w:tc>
        <w:tc>
          <w:tcPr>
            <w:tcW w:w="5162" w:type="dxa"/>
            <w:vAlign w:val="center"/>
          </w:tcPr>
          <w:p w14:paraId="0717B234">
            <w:pPr>
              <w:snapToGrid w:val="0"/>
              <w:spacing w:line="400" w:lineRule="atLeast"/>
              <w:jc w:val="center"/>
              <w:rPr>
                <w:sz w:val="21"/>
                <w:szCs w:val="21"/>
              </w:rPr>
            </w:pPr>
            <w:r>
              <w:rPr>
                <w:rFonts w:hint="eastAsia"/>
                <w:spacing w:val="-2"/>
                <w:sz w:val="21"/>
                <w:szCs w:val="21"/>
              </w:rPr>
              <w:t>商务部分</w:t>
            </w:r>
          </w:p>
        </w:tc>
        <w:tc>
          <w:tcPr>
            <w:tcW w:w="2918" w:type="dxa"/>
            <w:vAlign w:val="center"/>
          </w:tcPr>
          <w:p w14:paraId="635AFC5E">
            <w:pPr>
              <w:snapToGrid w:val="0"/>
              <w:spacing w:line="400" w:lineRule="atLeast"/>
              <w:jc w:val="center"/>
              <w:rPr>
                <w:sz w:val="21"/>
                <w:szCs w:val="21"/>
              </w:rPr>
            </w:pPr>
            <w:r>
              <w:rPr>
                <w:sz w:val="21"/>
                <w:szCs w:val="21"/>
                <w:lang w:eastAsia="zh-CN"/>
              </w:rPr>
              <w:t>10</w:t>
            </w:r>
            <w:r>
              <w:rPr>
                <w:rFonts w:hint="eastAsia"/>
                <w:sz w:val="21"/>
                <w:szCs w:val="21"/>
                <w:lang w:eastAsia="zh-CN"/>
              </w:rPr>
              <w:t>分</w:t>
            </w:r>
          </w:p>
        </w:tc>
      </w:tr>
      <w:tr w14:paraId="14ED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799" w:type="dxa"/>
            <w:vAlign w:val="center"/>
          </w:tcPr>
          <w:p w14:paraId="13D745BA">
            <w:pPr>
              <w:snapToGrid w:val="0"/>
              <w:spacing w:line="400" w:lineRule="atLeast"/>
              <w:jc w:val="center"/>
              <w:rPr>
                <w:sz w:val="21"/>
                <w:szCs w:val="21"/>
                <w:lang w:eastAsia="zh-CN"/>
              </w:rPr>
            </w:pPr>
            <w:r>
              <w:rPr>
                <w:rFonts w:hint="eastAsia"/>
                <w:sz w:val="21"/>
                <w:szCs w:val="21"/>
                <w:lang w:eastAsia="zh-CN"/>
              </w:rPr>
              <w:t>3</w:t>
            </w:r>
          </w:p>
        </w:tc>
        <w:tc>
          <w:tcPr>
            <w:tcW w:w="5162" w:type="dxa"/>
            <w:vAlign w:val="center"/>
          </w:tcPr>
          <w:p w14:paraId="44434520">
            <w:pPr>
              <w:snapToGrid w:val="0"/>
              <w:spacing w:line="400" w:lineRule="atLeast"/>
              <w:jc w:val="center"/>
              <w:rPr>
                <w:spacing w:val="-2"/>
                <w:sz w:val="21"/>
                <w:szCs w:val="21"/>
              </w:rPr>
            </w:pPr>
            <w:r>
              <w:rPr>
                <w:rFonts w:hint="eastAsia"/>
                <w:spacing w:val="-2"/>
                <w:sz w:val="21"/>
                <w:szCs w:val="21"/>
              </w:rPr>
              <w:t>报价部分</w:t>
            </w:r>
          </w:p>
        </w:tc>
        <w:tc>
          <w:tcPr>
            <w:tcW w:w="2918" w:type="dxa"/>
            <w:vAlign w:val="center"/>
          </w:tcPr>
          <w:p w14:paraId="4E1ECBE7">
            <w:pPr>
              <w:snapToGrid w:val="0"/>
              <w:spacing w:line="400" w:lineRule="atLeast"/>
              <w:jc w:val="center"/>
              <w:rPr>
                <w:sz w:val="21"/>
                <w:szCs w:val="21"/>
                <w:lang w:eastAsia="zh-CN"/>
              </w:rPr>
            </w:pPr>
            <w:r>
              <w:rPr>
                <w:sz w:val="21"/>
                <w:szCs w:val="21"/>
                <w:lang w:eastAsia="zh-CN"/>
              </w:rPr>
              <w:t>70</w:t>
            </w:r>
            <w:r>
              <w:rPr>
                <w:rFonts w:hint="eastAsia"/>
                <w:sz w:val="21"/>
                <w:szCs w:val="21"/>
                <w:lang w:eastAsia="zh-CN"/>
              </w:rPr>
              <w:t>分</w:t>
            </w:r>
          </w:p>
        </w:tc>
      </w:tr>
    </w:tbl>
    <w:p w14:paraId="10D1C0DE">
      <w:pPr>
        <w:snapToGrid w:val="0"/>
        <w:spacing w:line="420" w:lineRule="atLeast"/>
        <w:ind w:firstLine="708" w:firstLineChars="300"/>
        <w:rPr>
          <w:spacing w:val="-2"/>
          <w:sz w:val="24"/>
          <w:szCs w:val="24"/>
          <w:lang w:eastAsia="zh-CN"/>
        </w:rPr>
      </w:pPr>
      <w:r>
        <w:rPr>
          <w:rFonts w:hint="eastAsia"/>
          <w:spacing w:val="-2"/>
          <w:sz w:val="24"/>
          <w:szCs w:val="24"/>
          <w:lang w:eastAsia="zh-CN"/>
        </w:rPr>
        <w:t>评分细则</w:t>
      </w:r>
    </w:p>
    <w:tbl>
      <w:tblPr>
        <w:tblStyle w:val="46"/>
        <w:tblW w:w="8889" w:type="dxa"/>
        <w:tblInd w:w="589" w:type="dxa"/>
        <w:tblLayout w:type="fixed"/>
        <w:tblCellMar>
          <w:top w:w="0" w:type="dxa"/>
          <w:left w:w="108" w:type="dxa"/>
          <w:bottom w:w="0" w:type="dxa"/>
          <w:right w:w="108" w:type="dxa"/>
        </w:tblCellMar>
      </w:tblPr>
      <w:tblGrid>
        <w:gridCol w:w="560"/>
        <w:gridCol w:w="689"/>
        <w:gridCol w:w="1418"/>
        <w:gridCol w:w="513"/>
        <w:gridCol w:w="5709"/>
      </w:tblGrid>
      <w:tr w14:paraId="4A591155">
        <w:tblPrEx>
          <w:tblCellMar>
            <w:top w:w="0" w:type="dxa"/>
            <w:left w:w="108" w:type="dxa"/>
            <w:bottom w:w="0" w:type="dxa"/>
            <w:right w:w="108" w:type="dxa"/>
          </w:tblCellMar>
        </w:tblPrEx>
        <w:trPr>
          <w:trHeight w:val="516" w:hRule="atLeast"/>
        </w:trPr>
        <w:tc>
          <w:tcPr>
            <w:tcW w:w="560" w:type="dxa"/>
            <w:tcBorders>
              <w:top w:val="single" w:color="auto" w:sz="4" w:space="0"/>
              <w:left w:val="single" w:color="auto" w:sz="4" w:space="0"/>
              <w:bottom w:val="single" w:color="auto" w:sz="4" w:space="0"/>
              <w:right w:val="single" w:color="auto" w:sz="4" w:space="0"/>
            </w:tcBorders>
            <w:shd w:val="clear" w:color="auto" w:fill="auto"/>
            <w:vAlign w:val="center"/>
          </w:tcPr>
          <w:p w14:paraId="3FD77E3D">
            <w:pPr>
              <w:widowControl/>
              <w:autoSpaceDE/>
              <w:autoSpaceDN/>
              <w:spacing w:line="240" w:lineRule="atLeast"/>
              <w:rPr>
                <w:rFonts w:asciiTheme="majorEastAsia" w:hAnsiTheme="majorEastAsia" w:eastAsiaTheme="majorEastAsia"/>
                <w:b/>
                <w:bCs/>
                <w:color w:val="000000"/>
                <w:sz w:val="21"/>
                <w:szCs w:val="21"/>
                <w:lang w:eastAsia="zh-CN"/>
              </w:rPr>
            </w:pPr>
            <w:r>
              <w:rPr>
                <w:rFonts w:hint="eastAsia" w:asciiTheme="majorEastAsia" w:hAnsiTheme="majorEastAsia" w:eastAsiaTheme="majorEastAsia"/>
                <w:b/>
                <w:bCs/>
                <w:color w:val="000000"/>
                <w:sz w:val="21"/>
                <w:szCs w:val="21"/>
                <w:lang w:eastAsia="zh-CN"/>
              </w:rPr>
              <w:t>序号</w:t>
            </w:r>
          </w:p>
        </w:tc>
        <w:tc>
          <w:tcPr>
            <w:tcW w:w="689" w:type="dxa"/>
            <w:tcBorders>
              <w:top w:val="single" w:color="auto" w:sz="4" w:space="0"/>
              <w:left w:val="nil"/>
              <w:bottom w:val="single" w:color="auto" w:sz="4" w:space="0"/>
              <w:right w:val="single" w:color="auto" w:sz="4" w:space="0"/>
            </w:tcBorders>
            <w:shd w:val="clear" w:color="auto" w:fill="auto"/>
            <w:vAlign w:val="center"/>
          </w:tcPr>
          <w:p w14:paraId="34E33E92">
            <w:pPr>
              <w:widowControl/>
              <w:autoSpaceDE/>
              <w:autoSpaceDN/>
              <w:spacing w:line="240" w:lineRule="atLeast"/>
              <w:rPr>
                <w:rFonts w:asciiTheme="majorEastAsia" w:hAnsiTheme="majorEastAsia" w:eastAsiaTheme="majorEastAsia"/>
                <w:b/>
                <w:bCs/>
                <w:color w:val="000000"/>
                <w:sz w:val="21"/>
                <w:szCs w:val="21"/>
                <w:lang w:eastAsia="zh-CN"/>
              </w:rPr>
            </w:pPr>
            <w:r>
              <w:rPr>
                <w:rFonts w:hint="eastAsia" w:asciiTheme="majorEastAsia" w:hAnsiTheme="majorEastAsia" w:eastAsiaTheme="majorEastAsia"/>
                <w:b/>
                <w:bCs/>
                <w:color w:val="000000"/>
                <w:sz w:val="21"/>
                <w:szCs w:val="21"/>
                <w:lang w:eastAsia="zh-CN"/>
              </w:rPr>
              <w:t>　</w:t>
            </w:r>
          </w:p>
        </w:tc>
        <w:tc>
          <w:tcPr>
            <w:tcW w:w="1418" w:type="dxa"/>
            <w:tcBorders>
              <w:top w:val="single" w:color="auto" w:sz="4" w:space="0"/>
              <w:left w:val="nil"/>
              <w:bottom w:val="single" w:color="auto" w:sz="4" w:space="0"/>
              <w:right w:val="single" w:color="auto" w:sz="4" w:space="0"/>
            </w:tcBorders>
            <w:shd w:val="clear" w:color="auto" w:fill="auto"/>
            <w:vAlign w:val="center"/>
          </w:tcPr>
          <w:p w14:paraId="6C608639">
            <w:pPr>
              <w:widowControl/>
              <w:autoSpaceDE/>
              <w:autoSpaceDN/>
              <w:spacing w:line="240" w:lineRule="atLeast"/>
              <w:rPr>
                <w:rFonts w:asciiTheme="majorEastAsia" w:hAnsiTheme="majorEastAsia" w:eastAsiaTheme="majorEastAsia"/>
                <w:b/>
                <w:bCs/>
                <w:color w:val="000000"/>
                <w:sz w:val="21"/>
                <w:szCs w:val="21"/>
                <w:lang w:eastAsia="zh-CN"/>
              </w:rPr>
            </w:pPr>
            <w:r>
              <w:rPr>
                <w:rFonts w:hint="eastAsia" w:asciiTheme="majorEastAsia" w:hAnsiTheme="majorEastAsia" w:eastAsiaTheme="majorEastAsia"/>
                <w:b/>
                <w:bCs/>
                <w:color w:val="000000"/>
                <w:sz w:val="21"/>
                <w:szCs w:val="21"/>
                <w:lang w:eastAsia="zh-CN"/>
              </w:rPr>
              <w:t>评审项目</w:t>
            </w:r>
          </w:p>
        </w:tc>
        <w:tc>
          <w:tcPr>
            <w:tcW w:w="513" w:type="dxa"/>
            <w:tcBorders>
              <w:top w:val="single" w:color="auto" w:sz="4" w:space="0"/>
              <w:left w:val="nil"/>
              <w:bottom w:val="single" w:color="auto" w:sz="4" w:space="0"/>
              <w:right w:val="single" w:color="auto" w:sz="4" w:space="0"/>
            </w:tcBorders>
            <w:shd w:val="clear" w:color="auto" w:fill="auto"/>
            <w:vAlign w:val="center"/>
          </w:tcPr>
          <w:p w14:paraId="74CAA5E6">
            <w:pPr>
              <w:widowControl/>
              <w:autoSpaceDE/>
              <w:autoSpaceDN/>
              <w:spacing w:line="240" w:lineRule="atLeast"/>
              <w:rPr>
                <w:rFonts w:asciiTheme="majorEastAsia" w:hAnsiTheme="majorEastAsia" w:eastAsiaTheme="majorEastAsia"/>
                <w:b/>
                <w:bCs/>
                <w:color w:val="000000"/>
                <w:sz w:val="21"/>
                <w:szCs w:val="21"/>
                <w:lang w:eastAsia="zh-CN"/>
              </w:rPr>
            </w:pPr>
            <w:r>
              <w:rPr>
                <w:rFonts w:hint="eastAsia" w:asciiTheme="majorEastAsia" w:hAnsiTheme="majorEastAsia" w:eastAsiaTheme="majorEastAsia"/>
                <w:b/>
                <w:bCs/>
                <w:color w:val="000000"/>
                <w:sz w:val="21"/>
                <w:szCs w:val="21"/>
                <w:lang w:eastAsia="zh-CN"/>
              </w:rPr>
              <w:t>分值</w:t>
            </w:r>
          </w:p>
        </w:tc>
        <w:tc>
          <w:tcPr>
            <w:tcW w:w="5709" w:type="dxa"/>
            <w:tcBorders>
              <w:top w:val="single" w:color="auto" w:sz="4" w:space="0"/>
              <w:left w:val="nil"/>
              <w:bottom w:val="single" w:color="auto" w:sz="4" w:space="0"/>
              <w:right w:val="single" w:color="auto" w:sz="4" w:space="0"/>
            </w:tcBorders>
            <w:shd w:val="clear" w:color="auto" w:fill="auto"/>
            <w:vAlign w:val="center"/>
          </w:tcPr>
          <w:p w14:paraId="5B94AB9D">
            <w:pPr>
              <w:widowControl/>
              <w:autoSpaceDE/>
              <w:autoSpaceDN/>
              <w:spacing w:line="240" w:lineRule="atLeast"/>
              <w:rPr>
                <w:rFonts w:asciiTheme="majorEastAsia" w:hAnsiTheme="majorEastAsia" w:eastAsiaTheme="majorEastAsia"/>
                <w:b/>
                <w:bCs/>
                <w:color w:val="000000"/>
                <w:sz w:val="21"/>
                <w:szCs w:val="21"/>
                <w:lang w:eastAsia="zh-CN"/>
              </w:rPr>
            </w:pPr>
            <w:r>
              <w:rPr>
                <w:rFonts w:hint="eastAsia" w:asciiTheme="majorEastAsia" w:hAnsiTheme="majorEastAsia" w:eastAsiaTheme="majorEastAsia"/>
                <w:b/>
                <w:bCs/>
                <w:color w:val="000000"/>
                <w:sz w:val="21"/>
                <w:szCs w:val="21"/>
                <w:lang w:eastAsia="zh-CN"/>
              </w:rPr>
              <w:t>评分说明</w:t>
            </w:r>
          </w:p>
        </w:tc>
      </w:tr>
      <w:tr w14:paraId="4BBD24A0">
        <w:tblPrEx>
          <w:tblCellMar>
            <w:top w:w="0" w:type="dxa"/>
            <w:left w:w="108" w:type="dxa"/>
            <w:bottom w:w="0" w:type="dxa"/>
            <w:right w:w="108" w:type="dxa"/>
          </w:tblCellMar>
        </w:tblPrEx>
        <w:trPr>
          <w:trHeight w:val="2044" w:hRule="atLeast"/>
        </w:trPr>
        <w:tc>
          <w:tcPr>
            <w:tcW w:w="560" w:type="dxa"/>
            <w:vMerge w:val="restart"/>
            <w:tcBorders>
              <w:top w:val="nil"/>
              <w:left w:val="single" w:color="auto" w:sz="4" w:space="0"/>
              <w:right w:val="single" w:color="auto" w:sz="4" w:space="0"/>
            </w:tcBorders>
            <w:shd w:val="clear" w:color="auto" w:fill="auto"/>
            <w:vAlign w:val="center"/>
          </w:tcPr>
          <w:p w14:paraId="085A1074">
            <w:pPr>
              <w:widowControl/>
              <w:autoSpaceDE/>
              <w:autoSpaceDN/>
              <w:spacing w:line="240" w:lineRule="atLeast"/>
              <w:rPr>
                <w:rFonts w:asciiTheme="majorEastAsia" w:hAnsiTheme="majorEastAsia" w:eastAsiaTheme="majorEastAsia"/>
                <w:color w:val="000000"/>
                <w:sz w:val="21"/>
                <w:szCs w:val="21"/>
                <w:lang w:eastAsia="zh-CN"/>
              </w:rPr>
            </w:pPr>
            <w:r>
              <w:rPr>
                <w:rFonts w:hint="eastAsia" w:asciiTheme="majorEastAsia" w:hAnsiTheme="majorEastAsia" w:eastAsiaTheme="majorEastAsia"/>
                <w:color w:val="000000"/>
                <w:sz w:val="21"/>
                <w:szCs w:val="21"/>
                <w:lang w:eastAsia="zh-CN"/>
              </w:rPr>
              <w:t>1</w:t>
            </w:r>
          </w:p>
        </w:tc>
        <w:tc>
          <w:tcPr>
            <w:tcW w:w="689" w:type="dxa"/>
            <w:vMerge w:val="restart"/>
            <w:tcBorders>
              <w:top w:val="nil"/>
              <w:left w:val="single" w:color="auto" w:sz="4" w:space="0"/>
              <w:right w:val="single" w:color="auto" w:sz="4" w:space="0"/>
            </w:tcBorders>
            <w:shd w:val="clear" w:color="auto" w:fill="auto"/>
            <w:vAlign w:val="center"/>
          </w:tcPr>
          <w:p w14:paraId="1D518562">
            <w:pPr>
              <w:spacing w:line="240" w:lineRule="atLeast"/>
              <w:rPr>
                <w:rFonts w:asciiTheme="majorEastAsia" w:hAnsiTheme="majorEastAsia" w:eastAsiaTheme="majorEastAsia"/>
                <w:color w:val="000000"/>
                <w:sz w:val="21"/>
                <w:szCs w:val="21"/>
                <w:lang w:eastAsia="zh-CN"/>
              </w:rPr>
            </w:pPr>
            <w:r>
              <w:rPr>
                <w:rFonts w:hint="eastAsia" w:asciiTheme="majorEastAsia" w:hAnsiTheme="majorEastAsia" w:eastAsiaTheme="majorEastAsia"/>
                <w:color w:val="000000"/>
                <w:sz w:val="21"/>
                <w:szCs w:val="21"/>
                <w:lang w:eastAsia="zh-CN"/>
              </w:rPr>
              <w:t>技术部分评分</w:t>
            </w:r>
          </w:p>
        </w:tc>
        <w:tc>
          <w:tcPr>
            <w:tcW w:w="1418" w:type="dxa"/>
            <w:tcBorders>
              <w:top w:val="nil"/>
              <w:left w:val="nil"/>
              <w:bottom w:val="single" w:color="auto" w:sz="4" w:space="0"/>
              <w:right w:val="single" w:color="auto" w:sz="4" w:space="0"/>
            </w:tcBorders>
            <w:shd w:val="clear" w:color="auto" w:fill="auto"/>
            <w:vAlign w:val="center"/>
          </w:tcPr>
          <w:p w14:paraId="1A1A8B5B">
            <w:pPr>
              <w:widowControl/>
              <w:spacing w:line="240" w:lineRule="atLeast"/>
              <w:textAlignment w:val="center"/>
              <w:rPr>
                <w:rFonts w:asciiTheme="majorEastAsia" w:hAnsiTheme="majorEastAsia" w:eastAsiaTheme="majorEastAsia"/>
                <w:color w:val="000000"/>
                <w:sz w:val="21"/>
                <w:szCs w:val="21"/>
              </w:rPr>
            </w:pPr>
            <w:r>
              <w:rPr>
                <w:rFonts w:hint="eastAsia" w:asciiTheme="minorEastAsia" w:hAnsiTheme="minorEastAsia" w:eastAsiaTheme="minorEastAsia"/>
                <w:bCs/>
                <w:sz w:val="21"/>
                <w:szCs w:val="21"/>
              </w:rPr>
              <w:t>人员配置</w:t>
            </w:r>
          </w:p>
        </w:tc>
        <w:tc>
          <w:tcPr>
            <w:tcW w:w="513" w:type="dxa"/>
            <w:tcBorders>
              <w:top w:val="nil"/>
              <w:left w:val="nil"/>
              <w:bottom w:val="single" w:color="auto" w:sz="4" w:space="0"/>
              <w:right w:val="single" w:color="auto" w:sz="4" w:space="0"/>
            </w:tcBorders>
            <w:shd w:val="clear" w:color="auto" w:fill="auto"/>
            <w:vAlign w:val="center"/>
          </w:tcPr>
          <w:p w14:paraId="3B93C04F">
            <w:pPr>
              <w:widowControl/>
              <w:spacing w:line="240" w:lineRule="atLeast"/>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color w:val="000000"/>
                <w:sz w:val="21"/>
                <w:szCs w:val="21"/>
                <w:lang w:eastAsia="zh-CN"/>
              </w:rPr>
              <w:t>12</w:t>
            </w:r>
          </w:p>
        </w:tc>
        <w:tc>
          <w:tcPr>
            <w:tcW w:w="5709" w:type="dxa"/>
            <w:tcBorders>
              <w:top w:val="nil"/>
              <w:left w:val="nil"/>
              <w:bottom w:val="single" w:color="auto" w:sz="4" w:space="0"/>
              <w:right w:val="single" w:color="auto" w:sz="4" w:space="0"/>
            </w:tcBorders>
            <w:shd w:val="clear" w:color="auto" w:fill="auto"/>
            <w:vAlign w:val="center"/>
          </w:tcPr>
          <w:p w14:paraId="067DFB20">
            <w:pPr>
              <w:widowControl/>
              <w:snapToGrid w:val="0"/>
              <w:spacing w:line="440" w:lineRule="exact"/>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eastAsia="zh-CN"/>
              </w:rPr>
              <w:t>1、配置现场评估人员须持有一级注册消防工程师资格证，得基础分6分。</w:t>
            </w:r>
          </w:p>
          <w:p w14:paraId="44A7B824">
            <w:pPr>
              <w:pStyle w:val="70"/>
              <w:numPr>
                <w:ilvl w:val="0"/>
                <w:numId w:val="8"/>
              </w:numPr>
              <w:spacing w:before="0" w:line="240" w:lineRule="atLeast"/>
              <w:ind w:left="0"/>
              <w:rPr>
                <w:rFonts w:asciiTheme="majorEastAsia" w:hAnsiTheme="majorEastAsia" w:eastAsiaTheme="majorEastAsia"/>
                <w:sz w:val="21"/>
                <w:szCs w:val="21"/>
                <w:lang w:eastAsia="zh-CN"/>
              </w:rPr>
            </w:pPr>
            <w:r>
              <w:rPr>
                <w:rFonts w:hint="eastAsia" w:asciiTheme="minorEastAsia" w:hAnsiTheme="minorEastAsia" w:eastAsiaTheme="minorEastAsia"/>
                <w:bCs/>
                <w:sz w:val="21"/>
                <w:szCs w:val="21"/>
                <w:lang w:eastAsia="zh-CN"/>
              </w:rPr>
              <w:t>2、在第1条基础上，同时持有与消防有关的高级工程师职称，每人加</w:t>
            </w:r>
            <w:r>
              <w:rPr>
                <w:rFonts w:asciiTheme="minorEastAsia" w:hAnsiTheme="minorEastAsia" w:eastAsiaTheme="minorEastAsia"/>
                <w:bCs/>
                <w:sz w:val="21"/>
                <w:szCs w:val="21"/>
                <w:lang w:eastAsia="zh-CN"/>
              </w:rPr>
              <w:t>3分</w:t>
            </w:r>
            <w:r>
              <w:rPr>
                <w:rFonts w:hint="eastAsia" w:asciiTheme="minorEastAsia" w:hAnsiTheme="minorEastAsia" w:eastAsiaTheme="minorEastAsia"/>
                <w:bCs/>
                <w:sz w:val="21"/>
                <w:szCs w:val="21"/>
                <w:lang w:eastAsia="zh-CN"/>
              </w:rPr>
              <w:t>，同时持有与消防有关的中级及以上的资格证，每人加</w:t>
            </w:r>
            <w:r>
              <w:rPr>
                <w:rFonts w:asciiTheme="minorEastAsia" w:hAnsiTheme="minorEastAsia" w:eastAsiaTheme="minorEastAsia"/>
                <w:bCs/>
                <w:sz w:val="21"/>
                <w:szCs w:val="21"/>
                <w:lang w:eastAsia="zh-CN"/>
              </w:rPr>
              <w:t>2</w:t>
            </w:r>
            <w:r>
              <w:rPr>
                <w:rFonts w:hint="eastAsia" w:asciiTheme="minorEastAsia" w:hAnsiTheme="minorEastAsia" w:eastAsiaTheme="minorEastAsia"/>
                <w:bCs/>
                <w:sz w:val="21"/>
                <w:szCs w:val="21"/>
                <w:lang w:eastAsia="zh-CN"/>
              </w:rPr>
              <w:t>分，满分1</w:t>
            </w:r>
            <w:r>
              <w:rPr>
                <w:rFonts w:asciiTheme="minorEastAsia" w:hAnsiTheme="minorEastAsia" w:eastAsiaTheme="minorEastAsia"/>
                <w:bCs/>
                <w:sz w:val="21"/>
                <w:szCs w:val="21"/>
                <w:lang w:eastAsia="zh-CN"/>
              </w:rPr>
              <w:t>2分</w:t>
            </w:r>
            <w:r>
              <w:rPr>
                <w:rFonts w:hint="eastAsia" w:asciiTheme="minorEastAsia" w:hAnsiTheme="minorEastAsia" w:eastAsiaTheme="minorEastAsia"/>
                <w:bCs/>
                <w:sz w:val="21"/>
                <w:szCs w:val="21"/>
                <w:lang w:eastAsia="zh-CN"/>
              </w:rPr>
              <w:t>。须提供证书复印件加盖投标人公章并</w:t>
            </w:r>
            <w:r>
              <w:rPr>
                <w:rFonts w:asciiTheme="minorEastAsia" w:hAnsiTheme="minorEastAsia" w:eastAsiaTheme="minorEastAsia"/>
                <w:bCs/>
                <w:sz w:val="21"/>
                <w:szCs w:val="21"/>
                <w:lang w:eastAsia="zh-CN"/>
              </w:rPr>
              <w:t>全部装订在投标文件中</w:t>
            </w:r>
            <w:r>
              <w:rPr>
                <w:rFonts w:hint="eastAsia" w:asciiTheme="minorEastAsia" w:hAnsiTheme="minorEastAsia" w:eastAsiaTheme="minorEastAsia"/>
                <w:bCs/>
                <w:sz w:val="21"/>
                <w:szCs w:val="21"/>
                <w:lang w:eastAsia="zh-CN"/>
              </w:rPr>
              <w:t>）。</w:t>
            </w:r>
            <w:r>
              <w:rPr>
                <w:rFonts w:hint="eastAsia" w:asciiTheme="minorEastAsia" w:hAnsiTheme="minorEastAsia" w:eastAsiaTheme="minorEastAsia"/>
                <w:sz w:val="21"/>
                <w:szCs w:val="21"/>
                <w:lang w:eastAsia="zh-CN"/>
              </w:rPr>
              <w:t xml:space="preserve">  </w:t>
            </w:r>
          </w:p>
        </w:tc>
      </w:tr>
      <w:tr w14:paraId="5D6E2193">
        <w:tblPrEx>
          <w:tblCellMar>
            <w:top w:w="0" w:type="dxa"/>
            <w:left w:w="108" w:type="dxa"/>
            <w:bottom w:w="0" w:type="dxa"/>
            <w:right w:w="108" w:type="dxa"/>
          </w:tblCellMar>
        </w:tblPrEx>
        <w:trPr>
          <w:trHeight w:val="2377" w:hRule="atLeast"/>
        </w:trPr>
        <w:tc>
          <w:tcPr>
            <w:tcW w:w="560" w:type="dxa"/>
            <w:vMerge w:val="continue"/>
            <w:tcBorders>
              <w:left w:val="single" w:color="auto" w:sz="4" w:space="0"/>
              <w:right w:val="single" w:color="auto" w:sz="4" w:space="0"/>
            </w:tcBorders>
            <w:vAlign w:val="center"/>
          </w:tcPr>
          <w:p w14:paraId="1B730F32">
            <w:pPr>
              <w:widowControl/>
              <w:autoSpaceDE/>
              <w:autoSpaceDN/>
              <w:spacing w:line="240" w:lineRule="atLeast"/>
              <w:rPr>
                <w:rFonts w:asciiTheme="majorEastAsia" w:hAnsiTheme="majorEastAsia" w:eastAsiaTheme="majorEastAsia"/>
                <w:color w:val="000000"/>
                <w:sz w:val="21"/>
                <w:szCs w:val="21"/>
                <w:lang w:eastAsia="zh-CN"/>
              </w:rPr>
            </w:pPr>
          </w:p>
        </w:tc>
        <w:tc>
          <w:tcPr>
            <w:tcW w:w="689" w:type="dxa"/>
            <w:vMerge w:val="continue"/>
            <w:tcBorders>
              <w:left w:val="single" w:color="auto" w:sz="4" w:space="0"/>
              <w:right w:val="single" w:color="auto" w:sz="4" w:space="0"/>
            </w:tcBorders>
            <w:vAlign w:val="center"/>
          </w:tcPr>
          <w:p w14:paraId="46559FE9">
            <w:pPr>
              <w:spacing w:line="240" w:lineRule="atLeast"/>
              <w:rPr>
                <w:rFonts w:asciiTheme="majorEastAsia" w:hAnsiTheme="majorEastAsia" w:eastAsiaTheme="majorEastAsia"/>
                <w:color w:val="000000"/>
                <w:sz w:val="21"/>
                <w:szCs w:val="21"/>
                <w:lang w:eastAsia="zh-CN"/>
              </w:rPr>
            </w:pPr>
          </w:p>
        </w:tc>
        <w:tc>
          <w:tcPr>
            <w:tcW w:w="1418" w:type="dxa"/>
            <w:tcBorders>
              <w:top w:val="nil"/>
              <w:left w:val="nil"/>
              <w:right w:val="single" w:color="auto" w:sz="4" w:space="0"/>
            </w:tcBorders>
            <w:shd w:val="clear" w:color="auto" w:fill="auto"/>
            <w:vAlign w:val="center"/>
          </w:tcPr>
          <w:p w14:paraId="063D6382">
            <w:pPr>
              <w:widowControl/>
              <w:spacing w:line="240" w:lineRule="atLeast"/>
              <w:textAlignment w:val="center"/>
              <w:rPr>
                <w:rFonts w:asciiTheme="majorEastAsia" w:hAnsiTheme="majorEastAsia" w:eastAsiaTheme="majorEastAsia"/>
                <w:color w:val="000000"/>
                <w:sz w:val="21"/>
                <w:szCs w:val="21"/>
              </w:rPr>
            </w:pPr>
            <w:r>
              <w:rPr>
                <w:rFonts w:hint="eastAsia" w:asciiTheme="minorEastAsia" w:hAnsiTheme="minorEastAsia" w:eastAsiaTheme="minorEastAsia"/>
                <w:color w:val="000000" w:themeColor="text1"/>
                <w:sz w:val="21"/>
                <w:szCs w:val="21"/>
                <w14:textFill>
                  <w14:solidFill>
                    <w14:schemeClr w14:val="tx1"/>
                  </w14:solidFill>
                </w14:textFill>
              </w:rPr>
              <w:t>评查方案</w:t>
            </w:r>
          </w:p>
        </w:tc>
        <w:tc>
          <w:tcPr>
            <w:tcW w:w="513" w:type="dxa"/>
            <w:tcBorders>
              <w:top w:val="nil"/>
              <w:left w:val="nil"/>
              <w:right w:val="single" w:color="auto" w:sz="4" w:space="0"/>
            </w:tcBorders>
            <w:shd w:val="clear" w:color="auto" w:fill="auto"/>
            <w:vAlign w:val="center"/>
          </w:tcPr>
          <w:p w14:paraId="2CE092A3">
            <w:pPr>
              <w:widowControl/>
              <w:spacing w:line="240" w:lineRule="atLeast"/>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color w:val="000000"/>
                <w:sz w:val="21"/>
                <w:szCs w:val="21"/>
                <w:lang w:eastAsia="zh-CN"/>
              </w:rPr>
              <w:t>8</w:t>
            </w:r>
          </w:p>
        </w:tc>
        <w:tc>
          <w:tcPr>
            <w:tcW w:w="5709" w:type="dxa"/>
            <w:tcBorders>
              <w:top w:val="nil"/>
              <w:left w:val="nil"/>
              <w:right w:val="single" w:color="auto" w:sz="4" w:space="0"/>
            </w:tcBorders>
            <w:shd w:val="clear" w:color="auto" w:fill="auto"/>
            <w:vAlign w:val="center"/>
          </w:tcPr>
          <w:p w14:paraId="3CC66FDE">
            <w:pPr>
              <w:widowControl/>
              <w:snapToGrid w:val="0"/>
              <w:spacing w:line="440" w:lineRule="exact"/>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eastAsia="zh-CN"/>
              </w:rPr>
              <w:t>评查方案有组织措施、技术措施、安全措施、技术支持力量、人员及装备配置、应急预案等方面评价：</w:t>
            </w:r>
          </w:p>
          <w:p w14:paraId="33492EF7">
            <w:pPr>
              <w:widowControl/>
              <w:snapToGrid w:val="0"/>
              <w:spacing w:line="440" w:lineRule="exact"/>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eastAsia="zh-CN"/>
              </w:rPr>
              <w:t>1、方案完善，得6~</w:t>
            </w:r>
            <w:r>
              <w:rPr>
                <w:rFonts w:asciiTheme="minorEastAsia" w:hAnsiTheme="minorEastAsia" w:eastAsiaTheme="minorEastAsia"/>
                <w:bCs/>
                <w:sz w:val="21"/>
                <w:szCs w:val="21"/>
                <w:lang w:eastAsia="zh-CN"/>
              </w:rPr>
              <w:t>8</w:t>
            </w:r>
            <w:r>
              <w:rPr>
                <w:rFonts w:hint="eastAsia" w:asciiTheme="minorEastAsia" w:hAnsiTheme="minorEastAsia" w:eastAsiaTheme="minorEastAsia"/>
                <w:bCs/>
                <w:sz w:val="21"/>
                <w:szCs w:val="21"/>
                <w:lang w:eastAsia="zh-CN"/>
              </w:rPr>
              <w:t>分；</w:t>
            </w:r>
          </w:p>
          <w:p w14:paraId="1A4D73AA">
            <w:pPr>
              <w:widowControl/>
              <w:snapToGrid w:val="0"/>
              <w:spacing w:line="440" w:lineRule="exact"/>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eastAsia="zh-CN"/>
              </w:rPr>
              <w:t>2、方案较完善，得4~</w:t>
            </w:r>
            <w:r>
              <w:rPr>
                <w:rFonts w:asciiTheme="minorEastAsia" w:hAnsiTheme="minorEastAsia" w:eastAsiaTheme="minorEastAsia"/>
                <w:bCs/>
                <w:sz w:val="21"/>
                <w:szCs w:val="21"/>
                <w:lang w:eastAsia="zh-CN"/>
              </w:rPr>
              <w:t>5</w:t>
            </w:r>
            <w:r>
              <w:rPr>
                <w:rFonts w:hint="eastAsia" w:asciiTheme="minorEastAsia" w:hAnsiTheme="minorEastAsia" w:eastAsiaTheme="minorEastAsia"/>
                <w:bCs/>
                <w:sz w:val="21"/>
                <w:szCs w:val="21"/>
                <w:lang w:eastAsia="zh-CN"/>
              </w:rPr>
              <w:t>分；</w:t>
            </w:r>
          </w:p>
          <w:p w14:paraId="6FEC9E26">
            <w:pPr>
              <w:widowControl/>
              <w:snapToGrid w:val="0"/>
              <w:spacing w:line="440" w:lineRule="exact"/>
              <w:rPr>
                <w:rFonts w:asciiTheme="minorEastAsia" w:hAnsiTheme="minorEastAsia" w:eastAsiaTheme="minorEastAsia"/>
                <w:bCs/>
                <w:sz w:val="21"/>
                <w:szCs w:val="21"/>
                <w:lang w:eastAsia="zh-CN"/>
              </w:rPr>
            </w:pPr>
            <w:r>
              <w:rPr>
                <w:rFonts w:hint="eastAsia" w:asciiTheme="minorEastAsia" w:hAnsiTheme="minorEastAsia" w:eastAsiaTheme="minorEastAsia"/>
                <w:bCs/>
                <w:sz w:val="21"/>
                <w:szCs w:val="21"/>
                <w:lang w:eastAsia="zh-CN"/>
              </w:rPr>
              <w:t>3、方案一般，得1~</w:t>
            </w:r>
            <w:r>
              <w:rPr>
                <w:rFonts w:asciiTheme="minorEastAsia" w:hAnsiTheme="minorEastAsia" w:eastAsiaTheme="minorEastAsia"/>
                <w:bCs/>
                <w:sz w:val="21"/>
                <w:szCs w:val="21"/>
                <w:lang w:eastAsia="zh-CN"/>
              </w:rPr>
              <w:t>3</w:t>
            </w:r>
            <w:r>
              <w:rPr>
                <w:rFonts w:hint="eastAsia" w:asciiTheme="minorEastAsia" w:hAnsiTheme="minorEastAsia" w:eastAsiaTheme="minorEastAsia"/>
                <w:bCs/>
                <w:sz w:val="21"/>
                <w:szCs w:val="21"/>
                <w:lang w:eastAsia="zh-CN"/>
              </w:rPr>
              <w:t>分；</w:t>
            </w:r>
          </w:p>
          <w:p w14:paraId="4DE20F97">
            <w:pPr>
              <w:spacing w:line="240" w:lineRule="atLeast"/>
              <w:rPr>
                <w:rFonts w:asciiTheme="majorEastAsia" w:hAnsiTheme="majorEastAsia" w:eastAsiaTheme="majorEastAsia"/>
                <w:sz w:val="21"/>
                <w:szCs w:val="21"/>
                <w:lang w:eastAsia="zh-CN"/>
              </w:rPr>
            </w:pPr>
            <w:r>
              <w:rPr>
                <w:rFonts w:hint="eastAsia" w:asciiTheme="minorEastAsia" w:hAnsiTheme="minorEastAsia" w:eastAsiaTheme="minorEastAsia"/>
                <w:bCs/>
                <w:sz w:val="21"/>
                <w:szCs w:val="21"/>
                <w:lang w:eastAsia="zh-CN"/>
              </w:rPr>
              <w:t>4、无方案，得0分。</w:t>
            </w:r>
          </w:p>
        </w:tc>
      </w:tr>
      <w:tr w14:paraId="768D48D0">
        <w:tblPrEx>
          <w:tblCellMar>
            <w:top w:w="0" w:type="dxa"/>
            <w:left w:w="108" w:type="dxa"/>
            <w:bottom w:w="0" w:type="dxa"/>
            <w:right w:w="108" w:type="dxa"/>
          </w:tblCellMar>
        </w:tblPrEx>
        <w:trPr>
          <w:trHeight w:val="1042" w:hRule="atLeast"/>
        </w:trPr>
        <w:tc>
          <w:tcPr>
            <w:tcW w:w="560" w:type="dxa"/>
            <w:vMerge w:val="restart"/>
            <w:tcBorders>
              <w:top w:val="single" w:color="auto" w:sz="4" w:space="0"/>
              <w:left w:val="single" w:color="auto" w:sz="4" w:space="0"/>
              <w:right w:val="single" w:color="auto" w:sz="4" w:space="0"/>
            </w:tcBorders>
            <w:shd w:val="clear" w:color="auto" w:fill="auto"/>
            <w:vAlign w:val="center"/>
          </w:tcPr>
          <w:p w14:paraId="64D8986B">
            <w:pPr>
              <w:widowControl/>
              <w:autoSpaceDE/>
              <w:autoSpaceDN/>
              <w:spacing w:line="240" w:lineRule="atLeast"/>
              <w:jc w:val="center"/>
              <w:rPr>
                <w:rFonts w:asciiTheme="majorEastAsia" w:hAnsiTheme="majorEastAsia" w:eastAsiaTheme="majorEastAsia"/>
                <w:color w:val="000000"/>
                <w:sz w:val="21"/>
                <w:szCs w:val="21"/>
                <w:lang w:eastAsia="zh-CN"/>
              </w:rPr>
            </w:pPr>
            <w:r>
              <w:rPr>
                <w:rFonts w:asciiTheme="majorEastAsia" w:hAnsiTheme="majorEastAsia" w:eastAsiaTheme="majorEastAsia"/>
                <w:color w:val="000000"/>
                <w:sz w:val="21"/>
                <w:szCs w:val="21"/>
                <w:lang w:eastAsia="zh-CN"/>
              </w:rPr>
              <w:t>2</w:t>
            </w:r>
          </w:p>
        </w:tc>
        <w:tc>
          <w:tcPr>
            <w:tcW w:w="689" w:type="dxa"/>
            <w:vMerge w:val="restart"/>
            <w:tcBorders>
              <w:top w:val="single" w:color="auto" w:sz="4" w:space="0"/>
              <w:left w:val="single" w:color="auto" w:sz="4" w:space="0"/>
              <w:right w:val="single" w:color="auto" w:sz="4" w:space="0"/>
            </w:tcBorders>
            <w:shd w:val="clear" w:color="auto" w:fill="auto"/>
            <w:vAlign w:val="center"/>
          </w:tcPr>
          <w:p w14:paraId="1CA49D63">
            <w:pPr>
              <w:widowControl/>
              <w:autoSpaceDE/>
              <w:autoSpaceDN/>
              <w:spacing w:line="240" w:lineRule="atLeast"/>
              <w:rPr>
                <w:rFonts w:asciiTheme="majorEastAsia" w:hAnsiTheme="majorEastAsia" w:eastAsiaTheme="majorEastAsia"/>
                <w:color w:val="000000"/>
                <w:sz w:val="21"/>
                <w:szCs w:val="21"/>
                <w:lang w:eastAsia="zh-CN"/>
              </w:rPr>
            </w:pPr>
            <w:r>
              <w:rPr>
                <w:rFonts w:asciiTheme="majorEastAsia" w:hAnsiTheme="majorEastAsia" w:eastAsiaTheme="majorEastAsia"/>
                <w:color w:val="000000"/>
                <w:sz w:val="21"/>
                <w:szCs w:val="21"/>
                <w:lang w:eastAsia="zh-CN"/>
              </w:rPr>
              <w:t>商务部分评分</w:t>
            </w:r>
          </w:p>
        </w:tc>
        <w:tc>
          <w:tcPr>
            <w:tcW w:w="1418" w:type="dxa"/>
            <w:tcBorders>
              <w:top w:val="single" w:color="auto" w:sz="4" w:space="0"/>
              <w:left w:val="nil"/>
              <w:bottom w:val="single" w:color="auto" w:sz="4" w:space="0"/>
              <w:right w:val="single" w:color="auto" w:sz="4" w:space="0"/>
            </w:tcBorders>
            <w:shd w:val="clear" w:color="auto" w:fill="auto"/>
            <w:vAlign w:val="center"/>
          </w:tcPr>
          <w:p w14:paraId="37187BCB">
            <w:pPr>
              <w:widowControl/>
              <w:spacing w:line="240" w:lineRule="atLeast"/>
              <w:jc w:val="center"/>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b/>
                <w:bCs/>
                <w:sz w:val="21"/>
                <w:szCs w:val="21"/>
                <w:lang w:val="zh-CN"/>
              </w:rPr>
              <w:t>综合实力</w:t>
            </w:r>
          </w:p>
        </w:tc>
        <w:tc>
          <w:tcPr>
            <w:tcW w:w="513" w:type="dxa"/>
            <w:tcBorders>
              <w:top w:val="single" w:color="auto" w:sz="4" w:space="0"/>
              <w:left w:val="nil"/>
              <w:bottom w:val="single" w:color="auto" w:sz="4" w:space="0"/>
              <w:right w:val="single" w:color="auto" w:sz="4" w:space="0"/>
            </w:tcBorders>
            <w:shd w:val="clear" w:color="auto" w:fill="auto"/>
            <w:vAlign w:val="center"/>
          </w:tcPr>
          <w:p w14:paraId="079E210D">
            <w:pPr>
              <w:widowControl/>
              <w:spacing w:line="240" w:lineRule="atLeast"/>
              <w:textAlignment w:val="center"/>
              <w:rPr>
                <w:rFonts w:asciiTheme="majorEastAsia" w:hAnsiTheme="majorEastAsia" w:eastAsiaTheme="majorEastAsia"/>
                <w:color w:val="000000"/>
                <w:sz w:val="21"/>
                <w:szCs w:val="21"/>
                <w:lang w:eastAsia="zh-CN"/>
              </w:rPr>
            </w:pPr>
            <w:r>
              <w:rPr>
                <w:rFonts w:asciiTheme="majorEastAsia" w:hAnsiTheme="majorEastAsia" w:eastAsiaTheme="majorEastAsia"/>
                <w:color w:val="000000"/>
                <w:sz w:val="21"/>
                <w:szCs w:val="21"/>
                <w:lang w:eastAsia="zh-CN"/>
              </w:rPr>
              <w:t>2</w:t>
            </w:r>
          </w:p>
        </w:tc>
        <w:tc>
          <w:tcPr>
            <w:tcW w:w="5709" w:type="dxa"/>
            <w:tcBorders>
              <w:top w:val="single" w:color="auto" w:sz="4" w:space="0"/>
              <w:left w:val="nil"/>
              <w:bottom w:val="single" w:color="auto" w:sz="4" w:space="0"/>
              <w:right w:val="single" w:color="auto" w:sz="4" w:space="0"/>
            </w:tcBorders>
            <w:shd w:val="clear" w:color="auto" w:fill="auto"/>
            <w:vAlign w:val="center"/>
          </w:tcPr>
          <w:p w14:paraId="25963D2F">
            <w:pPr>
              <w:widowControl/>
              <w:spacing w:line="240" w:lineRule="atLeast"/>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sz w:val="21"/>
                <w:szCs w:val="21"/>
                <w:lang w:val="zh-CN" w:eastAsia="zh-CN"/>
              </w:rPr>
              <w:t>根据参比人企业概况、企业规模、企业优势、企业的专业性、企业资质、近3年企业获行政主管部门颁发的奖情况等方面情况，由评标委员会进行评议并在0-</w:t>
            </w:r>
            <w:r>
              <w:rPr>
                <w:rFonts w:asciiTheme="majorEastAsia" w:hAnsiTheme="majorEastAsia" w:eastAsiaTheme="majorEastAsia"/>
                <w:sz w:val="21"/>
                <w:szCs w:val="21"/>
                <w:lang w:val="zh-CN" w:eastAsia="zh-CN"/>
              </w:rPr>
              <w:t>2</w:t>
            </w:r>
            <w:r>
              <w:rPr>
                <w:rFonts w:hint="eastAsia" w:asciiTheme="majorEastAsia" w:hAnsiTheme="majorEastAsia" w:eastAsiaTheme="majorEastAsia"/>
                <w:sz w:val="21"/>
                <w:szCs w:val="21"/>
                <w:lang w:val="zh-CN" w:eastAsia="zh-CN"/>
              </w:rPr>
              <w:t>分之间进行评分</w:t>
            </w:r>
          </w:p>
        </w:tc>
      </w:tr>
      <w:tr w14:paraId="55669B9F">
        <w:tblPrEx>
          <w:tblCellMar>
            <w:top w:w="0" w:type="dxa"/>
            <w:left w:w="108" w:type="dxa"/>
            <w:bottom w:w="0" w:type="dxa"/>
            <w:right w:w="108" w:type="dxa"/>
          </w:tblCellMar>
        </w:tblPrEx>
        <w:trPr>
          <w:trHeight w:val="1536" w:hRule="atLeast"/>
        </w:trPr>
        <w:tc>
          <w:tcPr>
            <w:tcW w:w="560" w:type="dxa"/>
            <w:vMerge w:val="continue"/>
            <w:tcBorders>
              <w:left w:val="single" w:color="auto" w:sz="4" w:space="0"/>
              <w:right w:val="single" w:color="auto" w:sz="4" w:space="0"/>
            </w:tcBorders>
            <w:shd w:val="clear" w:color="auto" w:fill="auto"/>
            <w:vAlign w:val="center"/>
          </w:tcPr>
          <w:p w14:paraId="1CF715A3">
            <w:pPr>
              <w:widowControl/>
              <w:autoSpaceDE/>
              <w:autoSpaceDN/>
              <w:spacing w:line="240" w:lineRule="atLeast"/>
              <w:jc w:val="center"/>
              <w:rPr>
                <w:rFonts w:asciiTheme="majorEastAsia" w:hAnsiTheme="majorEastAsia" w:eastAsiaTheme="majorEastAsia"/>
                <w:color w:val="000000"/>
                <w:sz w:val="21"/>
                <w:szCs w:val="21"/>
                <w:lang w:eastAsia="zh-CN"/>
              </w:rPr>
            </w:pPr>
          </w:p>
        </w:tc>
        <w:tc>
          <w:tcPr>
            <w:tcW w:w="689" w:type="dxa"/>
            <w:vMerge w:val="continue"/>
            <w:tcBorders>
              <w:left w:val="single" w:color="auto" w:sz="4" w:space="0"/>
              <w:right w:val="single" w:color="auto" w:sz="4" w:space="0"/>
            </w:tcBorders>
            <w:shd w:val="clear" w:color="auto" w:fill="auto"/>
            <w:vAlign w:val="center"/>
          </w:tcPr>
          <w:p w14:paraId="03480488">
            <w:pPr>
              <w:widowControl/>
              <w:autoSpaceDE/>
              <w:autoSpaceDN/>
              <w:spacing w:line="240" w:lineRule="atLeast"/>
              <w:rPr>
                <w:rFonts w:asciiTheme="majorEastAsia" w:hAnsiTheme="majorEastAsia" w:eastAsiaTheme="majorEastAsia"/>
                <w:color w:val="000000"/>
                <w:sz w:val="21"/>
                <w:szCs w:val="21"/>
                <w:lang w:eastAsia="zh-CN"/>
              </w:rPr>
            </w:pPr>
          </w:p>
        </w:tc>
        <w:tc>
          <w:tcPr>
            <w:tcW w:w="1418" w:type="dxa"/>
            <w:tcBorders>
              <w:top w:val="single" w:color="auto" w:sz="4" w:space="0"/>
              <w:left w:val="nil"/>
              <w:bottom w:val="single" w:color="auto" w:sz="4" w:space="0"/>
              <w:right w:val="single" w:color="auto" w:sz="4" w:space="0"/>
            </w:tcBorders>
            <w:shd w:val="clear" w:color="auto" w:fill="auto"/>
            <w:vAlign w:val="center"/>
          </w:tcPr>
          <w:p w14:paraId="5565E50C">
            <w:pPr>
              <w:widowControl/>
              <w:spacing w:line="240" w:lineRule="atLeast"/>
              <w:jc w:val="center"/>
              <w:textAlignment w:val="center"/>
              <w:rPr>
                <w:rFonts w:asciiTheme="majorEastAsia" w:hAnsiTheme="majorEastAsia" w:eastAsiaTheme="majorEastAsia"/>
                <w:color w:val="000000"/>
                <w:sz w:val="21"/>
                <w:szCs w:val="21"/>
                <w:lang w:eastAsia="zh-CN"/>
              </w:rPr>
            </w:pPr>
            <w:r>
              <w:rPr>
                <w:rFonts w:cs="Arial" w:asciiTheme="majorEastAsia" w:hAnsiTheme="majorEastAsia" w:eastAsiaTheme="majorEastAsia"/>
                <w:b/>
                <w:bCs/>
                <w:sz w:val="21"/>
                <w:szCs w:val="21"/>
                <w:lang w:val="zh-CN"/>
              </w:rPr>
              <w:t>信誉、财务状况</w:t>
            </w:r>
          </w:p>
        </w:tc>
        <w:tc>
          <w:tcPr>
            <w:tcW w:w="513" w:type="dxa"/>
            <w:tcBorders>
              <w:top w:val="single" w:color="auto" w:sz="4" w:space="0"/>
              <w:left w:val="nil"/>
              <w:bottom w:val="single" w:color="auto" w:sz="4" w:space="0"/>
              <w:right w:val="single" w:color="auto" w:sz="4" w:space="0"/>
            </w:tcBorders>
            <w:shd w:val="clear" w:color="auto" w:fill="auto"/>
            <w:vAlign w:val="center"/>
          </w:tcPr>
          <w:p w14:paraId="60CF2805">
            <w:pPr>
              <w:widowControl/>
              <w:spacing w:line="240" w:lineRule="atLeast"/>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color w:val="000000"/>
                <w:sz w:val="21"/>
                <w:szCs w:val="21"/>
                <w:lang w:eastAsia="zh-CN"/>
              </w:rPr>
              <w:t>1</w:t>
            </w:r>
          </w:p>
        </w:tc>
        <w:tc>
          <w:tcPr>
            <w:tcW w:w="5709" w:type="dxa"/>
            <w:tcBorders>
              <w:top w:val="single" w:color="auto" w:sz="4" w:space="0"/>
              <w:left w:val="nil"/>
              <w:bottom w:val="single" w:color="auto" w:sz="4" w:space="0"/>
              <w:right w:val="single" w:color="auto" w:sz="4" w:space="0"/>
            </w:tcBorders>
            <w:shd w:val="clear" w:color="auto" w:fill="auto"/>
            <w:vAlign w:val="center"/>
          </w:tcPr>
          <w:p w14:paraId="1E5B98AA">
            <w:pPr>
              <w:spacing w:line="240" w:lineRule="atLeast"/>
              <w:rPr>
                <w:rFonts w:asciiTheme="majorEastAsia" w:hAnsiTheme="majorEastAsia" w:eastAsiaTheme="majorEastAsia"/>
                <w:sz w:val="21"/>
                <w:szCs w:val="21"/>
                <w:lang w:val="zh-CN" w:eastAsia="zh-CN"/>
              </w:rPr>
            </w:pPr>
            <w:r>
              <w:rPr>
                <w:rFonts w:hint="eastAsia" w:cs="Arial" w:asciiTheme="majorEastAsia" w:hAnsiTheme="majorEastAsia" w:eastAsiaTheme="majorEastAsia"/>
                <w:sz w:val="21"/>
                <w:szCs w:val="21"/>
                <w:lang w:val="zh-CN" w:eastAsia="zh-CN"/>
              </w:rPr>
              <w:t>参比人</w:t>
            </w:r>
            <w:r>
              <w:rPr>
                <w:rFonts w:hint="eastAsia" w:asciiTheme="majorEastAsia" w:hAnsiTheme="majorEastAsia" w:eastAsiaTheme="majorEastAsia"/>
                <w:sz w:val="21"/>
                <w:szCs w:val="21"/>
                <w:lang w:eastAsia="zh-CN"/>
              </w:rPr>
              <w:t>近3年财务报表状况、银行资信、</w:t>
            </w:r>
            <w:r>
              <w:rPr>
                <w:rFonts w:cs="Arial" w:asciiTheme="majorEastAsia" w:hAnsiTheme="majorEastAsia" w:eastAsiaTheme="majorEastAsia"/>
                <w:sz w:val="21"/>
                <w:szCs w:val="21"/>
                <w:lang w:val="zh-CN" w:eastAsia="zh-CN"/>
              </w:rPr>
              <w:t>企业信誉（主要是履约信誉）</w:t>
            </w:r>
            <w:r>
              <w:rPr>
                <w:rFonts w:hint="eastAsia" w:asciiTheme="majorEastAsia" w:hAnsiTheme="majorEastAsia" w:eastAsiaTheme="majorEastAsia"/>
                <w:sz w:val="21"/>
                <w:szCs w:val="21"/>
                <w:lang w:eastAsia="zh-CN"/>
              </w:rPr>
              <w:t>等方面情况，由评标委员会进行评议并在0-</w:t>
            </w:r>
            <w:r>
              <w:rPr>
                <w:rFonts w:asciiTheme="majorEastAsia" w:hAnsiTheme="majorEastAsia" w:eastAsiaTheme="majorEastAsia"/>
                <w:sz w:val="21"/>
                <w:szCs w:val="21"/>
                <w:lang w:eastAsia="zh-CN"/>
              </w:rPr>
              <w:t>1</w:t>
            </w:r>
            <w:r>
              <w:rPr>
                <w:rFonts w:hint="eastAsia" w:asciiTheme="majorEastAsia" w:hAnsiTheme="majorEastAsia" w:eastAsiaTheme="majorEastAsia"/>
                <w:sz w:val="21"/>
                <w:szCs w:val="21"/>
                <w:lang w:eastAsia="zh-CN"/>
              </w:rPr>
              <w:t>分之间进行评分。</w:t>
            </w:r>
          </w:p>
          <w:p w14:paraId="01863A7C">
            <w:pPr>
              <w:widowControl/>
              <w:spacing w:line="240" w:lineRule="atLeast"/>
              <w:textAlignment w:val="center"/>
              <w:rPr>
                <w:rFonts w:asciiTheme="majorEastAsia" w:hAnsiTheme="majorEastAsia" w:eastAsiaTheme="majorEastAsia"/>
                <w:color w:val="000000"/>
                <w:sz w:val="21"/>
                <w:szCs w:val="21"/>
                <w:lang w:eastAsia="zh-CN"/>
              </w:rPr>
            </w:pPr>
            <w:r>
              <w:rPr>
                <w:rFonts w:hint="eastAsia" w:cs="Arial" w:asciiTheme="majorEastAsia" w:hAnsiTheme="majorEastAsia" w:eastAsiaTheme="majorEastAsia"/>
                <w:b/>
                <w:bCs/>
                <w:sz w:val="21"/>
                <w:szCs w:val="21"/>
                <w:lang w:val="zh-CN" w:eastAsia="zh-CN"/>
              </w:rPr>
              <w:t>注：</w:t>
            </w:r>
            <w:r>
              <w:rPr>
                <w:rFonts w:hint="eastAsia" w:asciiTheme="majorEastAsia" w:hAnsiTheme="majorEastAsia" w:eastAsiaTheme="majorEastAsia"/>
                <w:b/>
                <w:bCs/>
                <w:sz w:val="21"/>
                <w:szCs w:val="21"/>
                <w:lang w:eastAsia="zh-CN"/>
              </w:rPr>
              <w:t>参比人应在投标文件中附上相关证明材料（如资信证书、重合同守信用证书等）并加盖参比人单位公章。</w:t>
            </w:r>
          </w:p>
        </w:tc>
      </w:tr>
      <w:tr w14:paraId="7930AE05">
        <w:tblPrEx>
          <w:tblCellMar>
            <w:top w:w="0" w:type="dxa"/>
            <w:left w:w="108" w:type="dxa"/>
            <w:bottom w:w="0" w:type="dxa"/>
            <w:right w:w="108" w:type="dxa"/>
          </w:tblCellMar>
        </w:tblPrEx>
        <w:trPr>
          <w:trHeight w:val="694" w:hRule="atLeast"/>
        </w:trPr>
        <w:tc>
          <w:tcPr>
            <w:tcW w:w="560" w:type="dxa"/>
            <w:vMerge w:val="continue"/>
            <w:tcBorders>
              <w:left w:val="single" w:color="auto" w:sz="4" w:space="0"/>
              <w:bottom w:val="single" w:color="auto" w:sz="4" w:space="0"/>
              <w:right w:val="single" w:color="auto" w:sz="4" w:space="0"/>
            </w:tcBorders>
            <w:shd w:val="clear" w:color="auto" w:fill="auto"/>
            <w:vAlign w:val="center"/>
          </w:tcPr>
          <w:p w14:paraId="06D2C219">
            <w:pPr>
              <w:widowControl/>
              <w:autoSpaceDE/>
              <w:autoSpaceDN/>
              <w:spacing w:line="240" w:lineRule="atLeast"/>
              <w:jc w:val="center"/>
              <w:rPr>
                <w:rFonts w:asciiTheme="majorEastAsia" w:hAnsiTheme="majorEastAsia" w:eastAsiaTheme="majorEastAsia"/>
                <w:color w:val="000000"/>
                <w:sz w:val="21"/>
                <w:szCs w:val="21"/>
                <w:lang w:eastAsia="zh-CN"/>
              </w:rPr>
            </w:pPr>
          </w:p>
        </w:tc>
        <w:tc>
          <w:tcPr>
            <w:tcW w:w="689" w:type="dxa"/>
            <w:vMerge w:val="continue"/>
            <w:tcBorders>
              <w:left w:val="single" w:color="auto" w:sz="4" w:space="0"/>
              <w:bottom w:val="single" w:color="auto" w:sz="4" w:space="0"/>
              <w:right w:val="single" w:color="auto" w:sz="4" w:space="0"/>
            </w:tcBorders>
            <w:shd w:val="clear" w:color="auto" w:fill="auto"/>
            <w:vAlign w:val="center"/>
          </w:tcPr>
          <w:p w14:paraId="44699738">
            <w:pPr>
              <w:widowControl/>
              <w:autoSpaceDE/>
              <w:autoSpaceDN/>
              <w:spacing w:line="240" w:lineRule="atLeast"/>
              <w:rPr>
                <w:rFonts w:asciiTheme="majorEastAsia" w:hAnsiTheme="majorEastAsia" w:eastAsiaTheme="majorEastAsia"/>
                <w:color w:val="000000"/>
                <w:sz w:val="21"/>
                <w:szCs w:val="21"/>
                <w:lang w:eastAsia="zh-CN"/>
              </w:rPr>
            </w:pPr>
          </w:p>
        </w:tc>
        <w:tc>
          <w:tcPr>
            <w:tcW w:w="1418" w:type="dxa"/>
            <w:tcBorders>
              <w:top w:val="single" w:color="auto" w:sz="4" w:space="0"/>
              <w:left w:val="nil"/>
              <w:bottom w:val="single" w:color="auto" w:sz="4" w:space="0"/>
              <w:right w:val="single" w:color="auto" w:sz="4" w:space="0"/>
            </w:tcBorders>
            <w:shd w:val="clear" w:color="auto" w:fill="auto"/>
            <w:vAlign w:val="center"/>
          </w:tcPr>
          <w:p w14:paraId="734B00D8">
            <w:pPr>
              <w:widowControl/>
              <w:spacing w:line="240" w:lineRule="atLeast"/>
              <w:jc w:val="center"/>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b/>
                <w:bCs/>
                <w:sz w:val="21"/>
                <w:szCs w:val="21"/>
              </w:rPr>
              <w:t>类似项目业绩</w:t>
            </w:r>
          </w:p>
        </w:tc>
        <w:tc>
          <w:tcPr>
            <w:tcW w:w="513" w:type="dxa"/>
            <w:tcBorders>
              <w:top w:val="single" w:color="auto" w:sz="4" w:space="0"/>
              <w:left w:val="nil"/>
              <w:bottom w:val="single" w:color="auto" w:sz="4" w:space="0"/>
              <w:right w:val="single" w:color="auto" w:sz="4" w:space="0"/>
            </w:tcBorders>
            <w:shd w:val="clear" w:color="auto" w:fill="auto"/>
            <w:vAlign w:val="center"/>
          </w:tcPr>
          <w:p w14:paraId="02AE1A9C">
            <w:pPr>
              <w:widowControl/>
              <w:spacing w:line="240" w:lineRule="atLeast"/>
              <w:textAlignment w:val="center"/>
              <w:rPr>
                <w:rFonts w:asciiTheme="majorEastAsia" w:hAnsiTheme="majorEastAsia" w:eastAsiaTheme="majorEastAsia"/>
                <w:color w:val="000000"/>
                <w:sz w:val="21"/>
                <w:szCs w:val="21"/>
                <w:lang w:eastAsia="zh-CN"/>
              </w:rPr>
            </w:pPr>
            <w:r>
              <w:rPr>
                <w:rFonts w:asciiTheme="majorEastAsia" w:hAnsiTheme="majorEastAsia" w:eastAsiaTheme="majorEastAsia"/>
                <w:color w:val="000000"/>
                <w:sz w:val="21"/>
                <w:szCs w:val="21"/>
                <w:lang w:eastAsia="zh-CN"/>
              </w:rPr>
              <w:t>7</w:t>
            </w:r>
          </w:p>
        </w:tc>
        <w:tc>
          <w:tcPr>
            <w:tcW w:w="5709" w:type="dxa"/>
            <w:tcBorders>
              <w:top w:val="single" w:color="auto" w:sz="4" w:space="0"/>
              <w:left w:val="nil"/>
              <w:bottom w:val="single" w:color="auto" w:sz="4" w:space="0"/>
              <w:right w:val="single" w:color="auto" w:sz="4" w:space="0"/>
            </w:tcBorders>
            <w:shd w:val="clear" w:color="auto" w:fill="auto"/>
            <w:vAlign w:val="center"/>
          </w:tcPr>
          <w:p w14:paraId="467A5CBE">
            <w:pPr>
              <w:widowControl/>
              <w:spacing w:line="240" w:lineRule="atLeast"/>
              <w:textAlignment w:val="center"/>
              <w:rPr>
                <w:rFonts w:asciiTheme="majorEastAsia" w:hAnsiTheme="majorEastAsia" w:eastAsiaTheme="majorEastAsia"/>
                <w:color w:val="000000"/>
                <w:sz w:val="21"/>
                <w:szCs w:val="21"/>
                <w:lang w:eastAsia="zh-CN"/>
              </w:rPr>
            </w:pPr>
            <w:r>
              <w:rPr>
                <w:rFonts w:hint="eastAsia" w:asciiTheme="majorEastAsia" w:hAnsiTheme="majorEastAsia" w:eastAsiaTheme="majorEastAsia"/>
                <w:sz w:val="21"/>
                <w:szCs w:val="21"/>
                <w:highlight w:val="none"/>
                <w:lang w:eastAsia="zh-CN"/>
              </w:rPr>
              <w:t>近3年完成同类的项目业绩（至少有一家石油化工行业项目的消防安全评估业绩，得3分），每增加一个石油化工行业项目的消防安全评估业绩合同的增加2分，其他合同的增加1分，</w:t>
            </w:r>
            <w:r>
              <w:rPr>
                <w:rFonts w:hint="eastAsia" w:asciiTheme="majorEastAsia" w:hAnsiTheme="majorEastAsia" w:eastAsiaTheme="majorEastAsia"/>
                <w:sz w:val="21"/>
                <w:szCs w:val="21"/>
                <w:highlight w:val="none"/>
                <w:lang w:val="en-US" w:eastAsia="zh-CN"/>
              </w:rPr>
              <w:t>满分</w:t>
            </w:r>
            <w:r>
              <w:rPr>
                <w:rFonts w:asciiTheme="majorEastAsia" w:hAnsiTheme="majorEastAsia" w:eastAsiaTheme="majorEastAsia"/>
                <w:sz w:val="21"/>
                <w:szCs w:val="21"/>
                <w:highlight w:val="none"/>
                <w:lang w:eastAsia="zh-CN"/>
              </w:rPr>
              <w:t>7</w:t>
            </w:r>
            <w:r>
              <w:rPr>
                <w:rFonts w:hint="eastAsia" w:asciiTheme="majorEastAsia" w:hAnsiTheme="majorEastAsia" w:eastAsiaTheme="majorEastAsia"/>
                <w:sz w:val="21"/>
                <w:szCs w:val="21"/>
                <w:highlight w:val="none"/>
                <w:lang w:eastAsia="zh-CN"/>
              </w:rPr>
              <w:t>分。</w:t>
            </w:r>
          </w:p>
        </w:tc>
      </w:tr>
      <w:tr w14:paraId="45F4AB57">
        <w:tblPrEx>
          <w:tblCellMar>
            <w:top w:w="0" w:type="dxa"/>
            <w:left w:w="108" w:type="dxa"/>
            <w:bottom w:w="0" w:type="dxa"/>
            <w:right w:w="108" w:type="dxa"/>
          </w:tblCellMar>
        </w:tblPrEx>
        <w:trPr>
          <w:trHeight w:val="2665" w:hRule="atLeast"/>
        </w:trPr>
        <w:tc>
          <w:tcPr>
            <w:tcW w:w="560" w:type="dxa"/>
            <w:tcBorders>
              <w:top w:val="nil"/>
              <w:left w:val="single" w:color="auto" w:sz="4" w:space="0"/>
              <w:bottom w:val="single" w:color="auto" w:sz="4" w:space="0"/>
              <w:right w:val="single" w:color="auto" w:sz="4" w:space="0"/>
            </w:tcBorders>
            <w:shd w:val="clear" w:color="auto" w:fill="auto"/>
            <w:vAlign w:val="center"/>
          </w:tcPr>
          <w:p w14:paraId="72CDFE79">
            <w:pPr>
              <w:widowControl/>
              <w:autoSpaceDE/>
              <w:autoSpaceDN/>
              <w:spacing w:line="240" w:lineRule="atLeast"/>
              <w:jc w:val="center"/>
              <w:rPr>
                <w:rFonts w:asciiTheme="majorEastAsia" w:hAnsiTheme="majorEastAsia" w:eastAsiaTheme="majorEastAsia"/>
                <w:color w:val="000000"/>
                <w:sz w:val="21"/>
                <w:szCs w:val="21"/>
                <w:lang w:eastAsia="zh-CN"/>
              </w:rPr>
            </w:pPr>
            <w:r>
              <w:rPr>
                <w:rFonts w:asciiTheme="majorEastAsia" w:hAnsiTheme="majorEastAsia" w:eastAsiaTheme="majorEastAsia"/>
                <w:color w:val="000000"/>
                <w:sz w:val="21"/>
                <w:szCs w:val="21"/>
                <w:lang w:eastAsia="zh-CN"/>
              </w:rPr>
              <w:t>3</w:t>
            </w:r>
          </w:p>
        </w:tc>
        <w:tc>
          <w:tcPr>
            <w:tcW w:w="689" w:type="dxa"/>
            <w:tcBorders>
              <w:top w:val="nil"/>
              <w:left w:val="nil"/>
              <w:bottom w:val="single" w:color="auto" w:sz="4" w:space="0"/>
              <w:right w:val="single" w:color="auto" w:sz="4" w:space="0"/>
            </w:tcBorders>
            <w:shd w:val="clear" w:color="auto" w:fill="auto"/>
            <w:vAlign w:val="center"/>
          </w:tcPr>
          <w:p w14:paraId="5BED5D0A">
            <w:pPr>
              <w:widowControl/>
              <w:autoSpaceDE/>
              <w:autoSpaceDN/>
              <w:spacing w:line="240" w:lineRule="atLeast"/>
              <w:rPr>
                <w:rFonts w:asciiTheme="majorEastAsia" w:hAnsiTheme="majorEastAsia" w:eastAsiaTheme="majorEastAsia"/>
                <w:color w:val="000000"/>
                <w:sz w:val="21"/>
                <w:szCs w:val="21"/>
                <w:lang w:eastAsia="zh-CN"/>
              </w:rPr>
            </w:pPr>
            <w:r>
              <w:rPr>
                <w:rFonts w:hint="eastAsia"/>
                <w:spacing w:val="-2"/>
                <w:sz w:val="21"/>
                <w:szCs w:val="21"/>
              </w:rPr>
              <w:t>报价部分</w:t>
            </w:r>
          </w:p>
        </w:tc>
        <w:tc>
          <w:tcPr>
            <w:tcW w:w="1418" w:type="dxa"/>
            <w:tcBorders>
              <w:top w:val="nil"/>
              <w:left w:val="nil"/>
              <w:bottom w:val="single" w:color="auto" w:sz="4" w:space="0"/>
              <w:right w:val="single" w:color="auto" w:sz="4" w:space="0"/>
            </w:tcBorders>
            <w:shd w:val="clear" w:color="auto" w:fill="auto"/>
            <w:vAlign w:val="center"/>
          </w:tcPr>
          <w:p w14:paraId="098BF003">
            <w:pPr>
              <w:widowControl/>
              <w:spacing w:line="240" w:lineRule="atLeast"/>
              <w:jc w:val="center"/>
              <w:textAlignment w:val="center"/>
              <w:rPr>
                <w:rFonts w:asciiTheme="majorEastAsia" w:hAnsiTheme="majorEastAsia" w:eastAsiaTheme="majorEastAsia"/>
                <w:color w:val="000000"/>
                <w:sz w:val="21"/>
                <w:szCs w:val="21"/>
              </w:rPr>
            </w:pPr>
            <w:r>
              <w:rPr>
                <w:rFonts w:asciiTheme="majorEastAsia" w:hAnsiTheme="majorEastAsia" w:eastAsiaTheme="majorEastAsia"/>
                <w:color w:val="000000"/>
                <w:sz w:val="21"/>
                <w:szCs w:val="21"/>
              </w:rPr>
              <w:t>报价</w:t>
            </w:r>
          </w:p>
        </w:tc>
        <w:tc>
          <w:tcPr>
            <w:tcW w:w="513" w:type="dxa"/>
            <w:tcBorders>
              <w:top w:val="nil"/>
              <w:left w:val="nil"/>
              <w:bottom w:val="single" w:color="auto" w:sz="4" w:space="0"/>
              <w:right w:val="single" w:color="auto" w:sz="4" w:space="0"/>
            </w:tcBorders>
            <w:shd w:val="clear" w:color="auto" w:fill="auto"/>
            <w:vAlign w:val="center"/>
          </w:tcPr>
          <w:p w14:paraId="4F48F634">
            <w:pPr>
              <w:widowControl/>
              <w:spacing w:line="240" w:lineRule="atLeast"/>
              <w:textAlignment w:val="center"/>
              <w:rPr>
                <w:rFonts w:asciiTheme="majorEastAsia" w:hAnsiTheme="majorEastAsia" w:eastAsiaTheme="majorEastAsia"/>
                <w:color w:val="000000"/>
                <w:sz w:val="21"/>
                <w:szCs w:val="21"/>
              </w:rPr>
            </w:pPr>
            <w:r>
              <w:rPr>
                <w:rFonts w:asciiTheme="majorEastAsia" w:hAnsiTheme="majorEastAsia" w:eastAsiaTheme="majorEastAsia"/>
                <w:color w:val="000000"/>
                <w:sz w:val="21"/>
                <w:szCs w:val="21"/>
              </w:rPr>
              <w:t>70</w:t>
            </w:r>
          </w:p>
        </w:tc>
        <w:tc>
          <w:tcPr>
            <w:tcW w:w="5709" w:type="dxa"/>
            <w:tcBorders>
              <w:top w:val="nil"/>
              <w:left w:val="nil"/>
              <w:bottom w:val="single" w:color="auto" w:sz="4" w:space="0"/>
              <w:right w:val="single" w:color="auto" w:sz="4" w:space="0"/>
            </w:tcBorders>
            <w:shd w:val="clear" w:color="auto" w:fill="auto"/>
            <w:vAlign w:val="center"/>
          </w:tcPr>
          <w:p w14:paraId="16873126">
            <w:pPr>
              <w:spacing w:line="240" w:lineRule="atLeast"/>
              <w:rPr>
                <w:rFonts w:asciiTheme="majorEastAsia" w:hAnsiTheme="majorEastAsia" w:eastAsiaTheme="majorEastAsia"/>
                <w:sz w:val="21"/>
                <w:szCs w:val="21"/>
                <w:lang w:eastAsia="zh-CN"/>
              </w:rPr>
            </w:pPr>
            <w:r>
              <w:rPr>
                <w:rFonts w:asciiTheme="majorEastAsia" w:hAnsiTheme="majorEastAsia" w:eastAsiaTheme="majorEastAsia"/>
                <w:sz w:val="21"/>
                <w:szCs w:val="21"/>
                <w:lang w:eastAsia="zh-CN"/>
              </w:rPr>
              <w:t>价格得分=( F低/ Fn)×</w:t>
            </w:r>
            <w:r>
              <w:rPr>
                <w:rFonts w:hint="eastAsia" w:asciiTheme="majorEastAsia" w:hAnsiTheme="majorEastAsia" w:eastAsiaTheme="majorEastAsia"/>
                <w:sz w:val="21"/>
                <w:szCs w:val="21"/>
                <w:lang w:eastAsia="zh-CN"/>
              </w:rPr>
              <w:t>70</w:t>
            </w:r>
          </w:p>
          <w:p w14:paraId="59DF29E7">
            <w:pPr>
              <w:spacing w:line="240" w:lineRule="atLeast"/>
              <w:rPr>
                <w:rFonts w:asciiTheme="majorEastAsia" w:hAnsiTheme="majorEastAsia" w:eastAsiaTheme="majorEastAsia"/>
                <w:sz w:val="21"/>
                <w:szCs w:val="21"/>
                <w:lang w:eastAsia="zh-CN"/>
              </w:rPr>
            </w:pPr>
            <w:r>
              <w:rPr>
                <w:rFonts w:asciiTheme="majorEastAsia" w:hAnsiTheme="majorEastAsia" w:eastAsiaTheme="majorEastAsia"/>
                <w:sz w:val="21"/>
                <w:szCs w:val="21"/>
                <w:lang w:eastAsia="zh-CN"/>
              </w:rPr>
              <w:t>式中：①F低为评标基准价=进入报价部分评分的各合格</w:t>
            </w:r>
            <w:r>
              <w:rPr>
                <w:rFonts w:hint="eastAsia" w:asciiTheme="majorEastAsia" w:hAnsiTheme="majorEastAsia" w:eastAsiaTheme="majorEastAsia"/>
                <w:sz w:val="21"/>
                <w:szCs w:val="21"/>
                <w:lang w:eastAsia="zh-CN"/>
              </w:rPr>
              <w:t>参比人</w:t>
            </w:r>
            <w:r>
              <w:rPr>
                <w:rFonts w:asciiTheme="majorEastAsia" w:hAnsiTheme="majorEastAsia" w:eastAsiaTheme="majorEastAsia"/>
                <w:sz w:val="21"/>
                <w:szCs w:val="21"/>
                <w:lang w:eastAsia="zh-CN"/>
              </w:rPr>
              <w:t>中最低的报价评标价。</w:t>
            </w:r>
          </w:p>
          <w:p w14:paraId="1318D732">
            <w:pPr>
              <w:widowControl/>
              <w:spacing w:line="240" w:lineRule="atLeast"/>
              <w:textAlignment w:val="center"/>
              <w:rPr>
                <w:rStyle w:val="202"/>
                <w:rFonts w:hint="default" w:asciiTheme="majorEastAsia" w:hAnsiTheme="majorEastAsia" w:eastAsiaTheme="majorEastAsia"/>
                <w:sz w:val="21"/>
                <w:szCs w:val="21"/>
                <w:lang w:eastAsia="zh-CN"/>
              </w:rPr>
            </w:pPr>
            <w:r>
              <w:rPr>
                <w:rFonts w:asciiTheme="majorEastAsia" w:hAnsiTheme="majorEastAsia" w:eastAsiaTheme="majorEastAsia"/>
                <w:sz w:val="21"/>
                <w:szCs w:val="21"/>
                <w:lang w:eastAsia="zh-CN"/>
              </w:rPr>
              <w:t>②Fn为进入报价部分评分的各合格</w:t>
            </w:r>
            <w:r>
              <w:rPr>
                <w:rFonts w:hint="eastAsia" w:asciiTheme="majorEastAsia" w:hAnsiTheme="majorEastAsia" w:eastAsiaTheme="majorEastAsia"/>
                <w:sz w:val="21"/>
                <w:szCs w:val="21"/>
                <w:lang w:eastAsia="zh-CN"/>
              </w:rPr>
              <w:t>参比人</w:t>
            </w:r>
            <w:r>
              <w:rPr>
                <w:rFonts w:asciiTheme="majorEastAsia" w:hAnsiTheme="majorEastAsia" w:eastAsiaTheme="majorEastAsia"/>
                <w:sz w:val="21"/>
                <w:szCs w:val="21"/>
                <w:lang w:eastAsia="zh-CN"/>
              </w:rPr>
              <w:t>的报价评标价。</w:t>
            </w:r>
          </w:p>
          <w:p w14:paraId="20D7B9A5">
            <w:pPr>
              <w:pStyle w:val="54"/>
              <w:adjustRightInd/>
              <w:spacing w:line="240" w:lineRule="atLeast"/>
              <w:jc w:val="left"/>
              <w:rPr>
                <w:rFonts w:asciiTheme="majorEastAsia" w:hAnsiTheme="majorEastAsia" w:eastAsiaTheme="majorEastAsia"/>
                <w:sz w:val="21"/>
                <w:szCs w:val="21"/>
              </w:rPr>
            </w:pPr>
            <w:r>
              <w:rPr>
                <w:rFonts w:hint="eastAsia" w:asciiTheme="majorEastAsia" w:hAnsiTheme="majorEastAsia" w:eastAsiaTheme="majorEastAsia"/>
                <w:b/>
                <w:bCs/>
                <w:sz w:val="21"/>
                <w:szCs w:val="21"/>
                <w:u w:val="double"/>
              </w:rPr>
              <w:t>注：若参比人的报价明显低于其他参选报价，使得其参选报价可能低于其个别成本的，参比人应按要求作出书面说明并提供相关证明材料。参比人不能合理说明或不能提供相关证明材料的，由评标委员会认定该参比人以低于成本报价竞标，其参选将被否决。</w:t>
            </w:r>
          </w:p>
        </w:tc>
      </w:tr>
    </w:tbl>
    <w:p w14:paraId="78E864DC">
      <w:pPr>
        <w:pStyle w:val="3"/>
        <w:spacing w:line="360" w:lineRule="auto"/>
        <w:ind w:left="598"/>
        <w:rPr>
          <w:b w:val="0"/>
          <w:lang w:eastAsia="zh-CN"/>
        </w:rPr>
      </w:pPr>
      <w:r>
        <w:fldChar w:fldCharType="begin"/>
      </w:r>
      <w:r>
        <w:instrText xml:space="preserve"> HYPERLINK "mailto:如参选人对控制价存疑请于报价截止前发邮件至hzji@fhcpec.com.cn" </w:instrText>
      </w:r>
      <w:r>
        <w:fldChar w:fldCharType="separate"/>
      </w:r>
      <w:r>
        <w:rPr>
          <w:rStyle w:val="52"/>
          <w:rFonts w:hint="eastAsia"/>
          <w:b w:val="0"/>
          <w:lang w:eastAsia="zh-CN"/>
        </w:rPr>
        <w:t>如参比人对控制价存疑请于报价截止前发邮件至huangmq@fujianep.com</w:t>
      </w:r>
      <w:r>
        <w:rPr>
          <w:rStyle w:val="52"/>
          <w:rFonts w:hint="eastAsia"/>
          <w:b w:val="0"/>
          <w:lang w:eastAsia="zh-CN"/>
        </w:rPr>
        <w:fldChar w:fldCharType="end"/>
      </w:r>
      <w:r>
        <w:rPr>
          <w:rFonts w:hint="eastAsia"/>
          <w:b w:val="0"/>
          <w:lang w:eastAsia="zh-CN"/>
        </w:rPr>
        <w:t>。</w:t>
      </w:r>
    </w:p>
    <w:p w14:paraId="05362083">
      <w:pPr>
        <w:spacing w:line="440" w:lineRule="exact"/>
        <w:ind w:firstLine="458" w:firstLineChars="200"/>
        <w:rPr>
          <w:rFonts w:asciiTheme="majorEastAsia" w:hAnsiTheme="majorEastAsia" w:eastAsiaTheme="majorEastAsia"/>
          <w:b/>
          <w:sz w:val="24"/>
          <w:szCs w:val="24"/>
          <w:lang w:eastAsia="zh-CN"/>
        </w:rPr>
      </w:pPr>
      <w:r>
        <w:rPr>
          <w:rFonts w:hint="eastAsia" w:asciiTheme="majorEastAsia" w:hAnsiTheme="majorEastAsia" w:eastAsiaTheme="majorEastAsia"/>
          <w:b/>
          <w:w w:val="95"/>
          <w:sz w:val="24"/>
          <w:szCs w:val="24"/>
          <w:lang w:eastAsia="zh-CN"/>
        </w:rPr>
        <w:t>五</w:t>
      </w:r>
      <w:r>
        <w:rPr>
          <w:rFonts w:asciiTheme="majorEastAsia" w:hAnsiTheme="majorEastAsia" w:eastAsiaTheme="majorEastAsia"/>
          <w:b/>
          <w:w w:val="95"/>
          <w:sz w:val="24"/>
          <w:szCs w:val="24"/>
          <w:lang w:eastAsia="zh-CN"/>
        </w:rPr>
        <w:t>、以下情况作废选处理：</w:t>
      </w:r>
    </w:p>
    <w:p w14:paraId="39F385C2">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1.对询比文件提出的实质性要求和条件，参选文件未能在实质上响应的。</w:t>
      </w:r>
    </w:p>
    <w:p w14:paraId="1091039C">
      <w:pPr>
        <w:pStyle w:val="19"/>
        <w:spacing w:line="440" w:lineRule="exact"/>
        <w:ind w:firstLine="480" w:firstLineChars="200"/>
        <w:rPr>
          <w:rFonts w:asciiTheme="majorEastAsia" w:hAnsiTheme="majorEastAsia" w:eastAsiaTheme="majorEastAsia"/>
          <w:lang w:eastAsia="zh-CN"/>
        </w:rPr>
      </w:pPr>
      <w:r>
        <w:rPr>
          <w:rFonts w:asciiTheme="majorEastAsia" w:hAnsiTheme="majorEastAsia" w:eastAsiaTheme="majorEastAsia"/>
          <w:lang w:eastAsia="zh-CN"/>
        </w:rPr>
        <w:t>2.参选文件存在重大偏差的。</w:t>
      </w:r>
    </w:p>
    <w:p w14:paraId="011823B3">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3</w:t>
      </w:r>
      <w:r>
        <w:rPr>
          <w:rFonts w:asciiTheme="majorEastAsia" w:hAnsiTheme="majorEastAsia" w:eastAsiaTheme="majorEastAsia"/>
          <w:lang w:eastAsia="zh-CN"/>
        </w:rPr>
        <w:t>.违反规定影响开选评选工作或采取其他方式对询比人施加影响的。</w:t>
      </w:r>
    </w:p>
    <w:p w14:paraId="032E8151">
      <w:pPr>
        <w:pStyle w:val="19"/>
        <w:spacing w:line="440" w:lineRule="exact"/>
        <w:ind w:firstLine="480" w:firstLineChars="200"/>
        <w:rPr>
          <w:rFonts w:asciiTheme="majorEastAsia" w:hAnsiTheme="majorEastAsia" w:eastAsiaTheme="majorEastAsia"/>
          <w:lang w:eastAsia="zh-CN"/>
        </w:rPr>
      </w:pPr>
      <w:r>
        <w:rPr>
          <w:rFonts w:hint="eastAsia" w:asciiTheme="majorEastAsia" w:hAnsiTheme="majorEastAsia" w:eastAsiaTheme="majorEastAsia"/>
          <w:lang w:eastAsia="zh-CN"/>
        </w:rPr>
        <w:t>4</w:t>
      </w:r>
      <w:r>
        <w:rPr>
          <w:rFonts w:asciiTheme="majorEastAsia" w:hAnsiTheme="majorEastAsia" w:eastAsiaTheme="majorEastAsia"/>
          <w:lang w:eastAsia="zh-CN"/>
        </w:rPr>
        <w:t>.</w:t>
      </w:r>
      <w:r>
        <w:rPr>
          <w:rFonts w:hint="eastAsia" w:asciiTheme="majorEastAsia" w:hAnsiTheme="majorEastAsia" w:eastAsiaTheme="majorEastAsia"/>
          <w:lang w:eastAsia="zh-CN"/>
        </w:rPr>
        <w:t>参比人</w:t>
      </w:r>
      <w:r>
        <w:rPr>
          <w:rFonts w:asciiTheme="majorEastAsia" w:hAnsiTheme="majorEastAsia" w:eastAsiaTheme="majorEastAsia"/>
          <w:lang w:eastAsia="zh-CN"/>
        </w:rPr>
        <w:t>串标、相互勾结故意压低标价以排挤竞争对手的公平竞争的，其参选无效。</w:t>
      </w:r>
    </w:p>
    <w:p w14:paraId="5F96496E">
      <w:pPr>
        <w:spacing w:line="440" w:lineRule="exact"/>
        <w:rPr>
          <w:rFonts w:asciiTheme="majorEastAsia" w:hAnsiTheme="majorEastAsia" w:eastAsiaTheme="majorEastAsia"/>
          <w:sz w:val="24"/>
          <w:szCs w:val="24"/>
          <w:lang w:eastAsia="zh-CN"/>
        </w:rPr>
      </w:pPr>
    </w:p>
    <w:p w14:paraId="49371033">
      <w:pPr>
        <w:pStyle w:val="2"/>
        <w:tabs>
          <w:tab w:val="left" w:pos="1632"/>
        </w:tabs>
        <w:spacing w:line="360" w:lineRule="auto"/>
        <w:ind w:left="367" w:firstLine="3373" w:firstLineChars="1200"/>
        <w:jc w:val="both"/>
        <w:rPr>
          <w:lang w:eastAsia="zh-CN"/>
        </w:rPr>
      </w:pPr>
      <w:r>
        <w:rPr>
          <w:lang w:eastAsia="zh-CN"/>
        </w:rPr>
        <w:t>第五章</w:t>
      </w:r>
      <w:r>
        <w:rPr>
          <w:lang w:eastAsia="zh-CN"/>
        </w:rPr>
        <w:tab/>
      </w:r>
      <w:r>
        <w:rPr>
          <w:spacing w:val="-1"/>
          <w:w w:val="95"/>
          <w:lang w:eastAsia="zh-CN"/>
        </w:rPr>
        <w:t>合同授</w:t>
      </w:r>
      <w:r>
        <w:rPr>
          <w:w w:val="95"/>
          <w:lang w:eastAsia="zh-CN"/>
        </w:rPr>
        <w:t>予</w:t>
      </w:r>
    </w:p>
    <w:p w14:paraId="709A69F6">
      <w:pPr>
        <w:pStyle w:val="19"/>
        <w:spacing w:line="440" w:lineRule="exact"/>
        <w:rPr>
          <w:rFonts w:asciiTheme="majorEastAsia" w:hAnsiTheme="majorEastAsia" w:eastAsiaTheme="majorEastAsia"/>
          <w:lang w:eastAsia="zh-CN"/>
        </w:rPr>
      </w:pPr>
      <w:r>
        <w:rPr>
          <w:rFonts w:asciiTheme="majorEastAsia" w:hAnsiTheme="majorEastAsia" w:eastAsiaTheme="majorEastAsia"/>
          <w:lang w:eastAsia="zh-CN"/>
        </w:rPr>
        <w:t>1.询比人将把合同授予中选人；在授予前，仍需进行资格审查。</w:t>
      </w:r>
    </w:p>
    <w:p w14:paraId="4D025F0A">
      <w:pPr>
        <w:pStyle w:val="19"/>
        <w:spacing w:line="440" w:lineRule="exact"/>
        <w:rPr>
          <w:rFonts w:asciiTheme="majorEastAsia" w:hAnsiTheme="majorEastAsia" w:eastAsiaTheme="majorEastAsia"/>
          <w:lang w:eastAsia="zh-CN"/>
        </w:rPr>
      </w:pPr>
      <w:r>
        <w:rPr>
          <w:rFonts w:asciiTheme="majorEastAsia" w:hAnsiTheme="majorEastAsia" w:eastAsiaTheme="majorEastAsia"/>
          <w:lang w:eastAsia="zh-CN"/>
        </w:rPr>
        <w:t>2.中选人确定后，询比将通知中选人，并将中选结果公示在</w:t>
      </w:r>
      <w:r>
        <w:rPr>
          <w:rFonts w:hint="eastAsia" w:asciiTheme="majorEastAsia" w:hAnsiTheme="majorEastAsia" w:eastAsiaTheme="majorEastAsia"/>
          <w:lang w:eastAsia="zh-CN"/>
        </w:rPr>
        <w:t>福建</w:t>
      </w:r>
      <w:r>
        <w:rPr>
          <w:rFonts w:asciiTheme="majorEastAsia" w:hAnsiTheme="majorEastAsia" w:eastAsiaTheme="majorEastAsia"/>
          <w:lang w:eastAsia="zh-CN"/>
        </w:rPr>
        <w:t>能源化工集团阳光采购平台上。</w:t>
      </w:r>
    </w:p>
    <w:p w14:paraId="04B9AB61">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3.</w:t>
      </w:r>
      <w:r>
        <w:rPr>
          <w:rFonts w:hint="eastAsia" w:asciiTheme="majorEastAsia" w:hAnsiTheme="majorEastAsia" w:eastAsiaTheme="majorEastAsia"/>
          <w:lang w:eastAsia="zh-CN"/>
        </w:rPr>
        <w:t xml:space="preserve"> 询比人将以书面形式通知中选人，确认其参选文件被接受。</w:t>
      </w:r>
      <w:r>
        <w:rPr>
          <w:rFonts w:asciiTheme="majorEastAsia" w:hAnsiTheme="majorEastAsia" w:eastAsiaTheme="majorEastAsia"/>
          <w:spacing w:val="-2"/>
          <w:lang w:eastAsia="zh-CN"/>
        </w:rPr>
        <w:t>中选通知对询比人和</w:t>
      </w:r>
      <w:r>
        <w:rPr>
          <w:rFonts w:hint="eastAsia" w:asciiTheme="majorEastAsia" w:hAnsiTheme="majorEastAsia" w:eastAsiaTheme="majorEastAsia"/>
          <w:spacing w:val="-2"/>
          <w:lang w:eastAsia="zh-CN"/>
        </w:rPr>
        <w:t>参比人</w:t>
      </w:r>
      <w:r>
        <w:rPr>
          <w:rFonts w:asciiTheme="majorEastAsia" w:hAnsiTheme="majorEastAsia" w:eastAsiaTheme="majorEastAsia"/>
          <w:spacing w:val="-2"/>
          <w:lang w:eastAsia="zh-CN"/>
        </w:rPr>
        <w:t>具有法律效力。中选单位需在询比人通知中选后</w:t>
      </w:r>
      <w:r>
        <w:rPr>
          <w:rFonts w:hint="eastAsia" w:asciiTheme="majorEastAsia" w:hAnsiTheme="majorEastAsia" w:eastAsiaTheme="majorEastAsia"/>
          <w:lang w:eastAsia="zh-CN"/>
        </w:rPr>
        <w:t>20</w:t>
      </w:r>
      <w:r>
        <w:rPr>
          <w:rFonts w:asciiTheme="majorEastAsia" w:hAnsiTheme="majorEastAsia" w:eastAsiaTheme="majorEastAsia"/>
          <w:spacing w:val="-30"/>
          <w:lang w:eastAsia="zh-CN"/>
        </w:rPr>
        <w:t>个</w:t>
      </w:r>
      <w:r>
        <w:rPr>
          <w:rFonts w:asciiTheme="majorEastAsia" w:hAnsiTheme="majorEastAsia" w:eastAsiaTheme="majorEastAsia"/>
          <w:spacing w:val="-4"/>
          <w:lang w:eastAsia="zh-CN"/>
        </w:rPr>
        <w:t>工作日内与询比人签订合同。若因中选单位原因未在规定的时间和地点与询比人签署合</w:t>
      </w:r>
      <w:r>
        <w:rPr>
          <w:rFonts w:asciiTheme="majorEastAsia" w:hAnsiTheme="majorEastAsia" w:eastAsiaTheme="majorEastAsia"/>
          <w:spacing w:val="-10"/>
          <w:lang w:eastAsia="zh-CN"/>
        </w:rPr>
        <w:t>同，询比人有权单方取消中选单位的资格。同时，由此给询比人造成的损失，询比人有权追究中选单位的全部责任。</w:t>
      </w:r>
    </w:p>
    <w:p w14:paraId="44E0969F">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4.</w:t>
      </w:r>
      <w:r>
        <w:rPr>
          <w:rFonts w:asciiTheme="majorEastAsia" w:hAnsiTheme="majorEastAsia" w:eastAsiaTheme="majorEastAsia"/>
          <w:spacing w:val="-8"/>
          <w:lang w:eastAsia="zh-CN"/>
        </w:rPr>
        <w:t>中选人签署合同后必须履行合同要求。若因中选单位原因未在规定的时间内完成</w:t>
      </w:r>
      <w:r>
        <w:rPr>
          <w:rFonts w:asciiTheme="majorEastAsia" w:hAnsiTheme="majorEastAsia" w:eastAsiaTheme="majorEastAsia"/>
          <w:spacing w:val="-14"/>
          <w:lang w:eastAsia="zh-CN"/>
        </w:rPr>
        <w:t>相关工作，则询比人有权单方面取消中选单位的资格，并取消</w:t>
      </w:r>
      <w:r>
        <w:rPr>
          <w:rFonts w:hint="eastAsia" w:asciiTheme="majorEastAsia" w:hAnsiTheme="majorEastAsia" w:eastAsiaTheme="majorEastAsia"/>
          <w:spacing w:val="-14"/>
          <w:lang w:eastAsia="zh-CN"/>
        </w:rPr>
        <w:t>参比人</w:t>
      </w:r>
      <w:r>
        <w:rPr>
          <w:rFonts w:asciiTheme="majorEastAsia" w:hAnsiTheme="majorEastAsia" w:eastAsiaTheme="majorEastAsia"/>
          <w:spacing w:val="-14"/>
          <w:lang w:eastAsia="zh-CN"/>
        </w:rPr>
        <w:t>三年内</w:t>
      </w:r>
      <w:r>
        <w:rPr>
          <w:rFonts w:asciiTheme="majorEastAsia" w:hAnsiTheme="majorEastAsia" w:eastAsiaTheme="majorEastAsia"/>
          <w:spacing w:val="-18"/>
          <w:lang w:eastAsia="zh-CN"/>
        </w:rPr>
        <w:t>在询比人的业务中的参选资格，由此给询比人造成的损失，询比人有权追究中选方的全部责任。</w:t>
      </w:r>
    </w:p>
    <w:p w14:paraId="2B484EEA">
      <w:pPr>
        <w:pStyle w:val="19"/>
        <w:spacing w:line="440" w:lineRule="exact"/>
        <w:ind w:firstLine="480"/>
        <w:rPr>
          <w:rFonts w:asciiTheme="majorEastAsia" w:hAnsiTheme="majorEastAsia" w:eastAsiaTheme="majorEastAsia"/>
          <w:lang w:eastAsia="zh-CN"/>
        </w:rPr>
      </w:pPr>
      <w:r>
        <w:rPr>
          <w:rFonts w:asciiTheme="majorEastAsia" w:hAnsiTheme="majorEastAsia" w:eastAsiaTheme="majorEastAsia"/>
          <w:lang w:eastAsia="zh-CN"/>
        </w:rPr>
        <w:t>5.询比文件与合同附件作为签订合同的条款，询比文件合同条款中没有规定的内容，询比人、</w:t>
      </w:r>
      <w:r>
        <w:rPr>
          <w:rFonts w:hint="eastAsia" w:asciiTheme="majorEastAsia" w:hAnsiTheme="majorEastAsia" w:eastAsiaTheme="majorEastAsia"/>
          <w:lang w:eastAsia="zh-CN"/>
        </w:rPr>
        <w:t>参比人</w:t>
      </w:r>
      <w:r>
        <w:rPr>
          <w:rFonts w:asciiTheme="majorEastAsia" w:hAnsiTheme="majorEastAsia" w:eastAsiaTheme="majorEastAsia"/>
          <w:lang w:eastAsia="zh-CN"/>
        </w:rPr>
        <w:t>认为有必要进行补充，可另行商定解决。</w:t>
      </w:r>
    </w:p>
    <w:p w14:paraId="1C5B6384">
      <w:pPr>
        <w:pStyle w:val="19"/>
        <w:spacing w:line="440" w:lineRule="exact"/>
        <w:ind w:firstLine="480"/>
        <w:rPr>
          <w:rFonts w:asciiTheme="majorEastAsia" w:hAnsiTheme="majorEastAsia" w:eastAsiaTheme="majorEastAsia"/>
          <w:spacing w:val="-13"/>
          <w:lang w:eastAsia="zh-CN"/>
        </w:rPr>
      </w:pPr>
      <w:r>
        <w:rPr>
          <w:rFonts w:asciiTheme="majorEastAsia" w:hAnsiTheme="majorEastAsia" w:eastAsiaTheme="majorEastAsia"/>
          <w:lang w:eastAsia="zh-CN"/>
        </w:rPr>
        <w:t>6.</w:t>
      </w:r>
      <w:r>
        <w:rPr>
          <w:rFonts w:asciiTheme="majorEastAsia" w:hAnsiTheme="majorEastAsia" w:eastAsiaTheme="majorEastAsia"/>
          <w:spacing w:val="-8"/>
          <w:lang w:eastAsia="zh-CN"/>
        </w:rPr>
        <w:t>接受和拒绝任何或所有参选的权利：询比机构和询比人保留在授标之前任何时候接</w:t>
      </w:r>
      <w:r>
        <w:rPr>
          <w:rFonts w:asciiTheme="majorEastAsia" w:hAnsiTheme="majorEastAsia" w:eastAsiaTheme="majorEastAsia"/>
          <w:spacing w:val="-13"/>
          <w:lang w:eastAsia="zh-CN"/>
        </w:rPr>
        <w:t>受或拒绝任何询比，以及宣布询比程序无效或拒绝所有参选的权利，对受影响的</w:t>
      </w:r>
      <w:r>
        <w:rPr>
          <w:rFonts w:hint="eastAsia" w:asciiTheme="majorEastAsia" w:hAnsiTheme="majorEastAsia" w:eastAsiaTheme="majorEastAsia"/>
          <w:spacing w:val="-13"/>
          <w:lang w:eastAsia="zh-CN"/>
        </w:rPr>
        <w:t>参比人</w:t>
      </w:r>
      <w:r>
        <w:rPr>
          <w:rFonts w:asciiTheme="majorEastAsia" w:hAnsiTheme="majorEastAsia" w:eastAsiaTheme="majorEastAsia"/>
          <w:spacing w:val="-13"/>
          <w:lang w:eastAsia="zh-CN"/>
        </w:rPr>
        <w:t>不承担任何责任。</w:t>
      </w:r>
    </w:p>
    <w:p w14:paraId="70CC78A4">
      <w:pPr>
        <w:spacing w:line="440" w:lineRule="exact"/>
        <w:ind w:firstLine="435"/>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7．</w:t>
      </w:r>
      <w:r>
        <w:rPr>
          <w:rFonts w:hint="eastAsia" w:asciiTheme="majorEastAsia" w:hAnsiTheme="majorEastAsia" w:eastAsiaTheme="majorEastAsia"/>
          <w:bCs/>
          <w:sz w:val="24"/>
          <w:szCs w:val="24"/>
          <w:lang w:eastAsia="zh-CN"/>
        </w:rPr>
        <w:t>中标通知书发出后，中标人放弃中标项目的，无正当理由不与询比人签订合同的，在签订合同时提出附加条件或者更改合同实质性条款的，询比人可取消其中标资格，给询比人造成损失的，中标人应予以赔偿。</w:t>
      </w:r>
    </w:p>
    <w:p w14:paraId="34A191BC">
      <w:pPr>
        <w:pStyle w:val="54"/>
        <w:adjustRightInd/>
        <w:spacing w:line="440" w:lineRule="exact"/>
        <w:ind w:firstLine="437"/>
        <w:jc w:val="left"/>
        <w:rPr>
          <w:rFonts w:cs="宋体" w:asciiTheme="majorEastAsia" w:hAnsiTheme="majorEastAsia" w:eastAsiaTheme="majorEastAsia"/>
          <w:bCs/>
          <w:sz w:val="24"/>
          <w:szCs w:val="24"/>
        </w:rPr>
      </w:pPr>
      <w:r>
        <w:rPr>
          <w:rFonts w:hint="eastAsia" w:asciiTheme="majorEastAsia" w:hAnsiTheme="majorEastAsia" w:eastAsiaTheme="majorEastAsia"/>
          <w:sz w:val="24"/>
          <w:szCs w:val="24"/>
        </w:rPr>
        <w:t>8. 本合同将授予其参选文件在实质上响应询比文件要求和按本询比文件规定所确定的中选人。询比人在授予合同之前有权对参比人递交的参选文件资料进行核实，参比人</w:t>
      </w:r>
      <w:r>
        <w:rPr>
          <w:rFonts w:hint="eastAsia" w:asciiTheme="majorEastAsia" w:hAnsiTheme="majorEastAsia" w:eastAsiaTheme="majorEastAsia"/>
          <w:b/>
          <w:sz w:val="24"/>
          <w:szCs w:val="24"/>
        </w:rPr>
        <w:t>应对参选文件资料的真实性负责</w:t>
      </w:r>
      <w:r>
        <w:rPr>
          <w:rFonts w:hint="eastAsia" w:asciiTheme="majorEastAsia" w:hAnsiTheme="majorEastAsia" w:eastAsiaTheme="majorEastAsia"/>
          <w:sz w:val="24"/>
          <w:szCs w:val="24"/>
        </w:rPr>
        <w:t>，如发现其所提交的资料不真实，询比人将视其为以弄虚作假方式骗取中选，其中选无效。参比人给询比人造成损失的，应依法承担赔偿责任。</w:t>
      </w:r>
    </w:p>
    <w:p w14:paraId="09097DFF">
      <w:pPr>
        <w:pStyle w:val="19"/>
        <w:spacing w:line="440" w:lineRule="exact"/>
        <w:ind w:firstLine="480"/>
        <w:rPr>
          <w:rFonts w:asciiTheme="majorEastAsia" w:hAnsiTheme="majorEastAsia" w:eastAsiaTheme="majorEastAsia"/>
          <w:lang w:eastAsia="zh-CN"/>
        </w:rPr>
      </w:pPr>
      <w:r>
        <w:rPr>
          <w:rFonts w:hint="eastAsia" w:asciiTheme="majorEastAsia" w:hAnsiTheme="majorEastAsia" w:eastAsiaTheme="majorEastAsia"/>
          <w:lang w:eastAsia="zh-CN"/>
        </w:rPr>
        <w:t xml:space="preserve">9. </w:t>
      </w:r>
      <w:r>
        <w:rPr>
          <w:rStyle w:val="49"/>
          <w:rFonts w:hint="eastAsia" w:asciiTheme="majorEastAsia" w:hAnsiTheme="majorEastAsia" w:eastAsiaTheme="majorEastAsia"/>
          <w:lang w:eastAsia="zh-CN"/>
        </w:rPr>
        <w:t>福建福海创石油化工有限公司及其权属子公司“</w:t>
      </w:r>
      <w:r>
        <w:rPr>
          <w:rStyle w:val="49"/>
          <w:rFonts w:asciiTheme="majorEastAsia" w:hAnsiTheme="majorEastAsia" w:eastAsiaTheme="majorEastAsia"/>
          <w:lang w:eastAsia="zh-CN"/>
        </w:rPr>
        <w:t>腾龙芳烃</w:t>
      </w:r>
      <w:r>
        <w:rPr>
          <w:rStyle w:val="49"/>
          <w:rFonts w:hint="eastAsia" w:asciiTheme="majorEastAsia" w:hAnsiTheme="majorEastAsia" w:eastAsiaTheme="majorEastAsia"/>
          <w:lang w:eastAsia="zh-CN"/>
        </w:rPr>
        <w:t>（漳州）有限公司</w:t>
      </w:r>
      <w:r>
        <w:rPr>
          <w:rStyle w:val="49"/>
          <w:rFonts w:asciiTheme="majorEastAsia" w:hAnsiTheme="majorEastAsia" w:eastAsiaTheme="majorEastAsia"/>
          <w:lang w:eastAsia="zh-CN"/>
        </w:rPr>
        <w:t>”</w:t>
      </w:r>
      <w:r>
        <w:rPr>
          <w:rStyle w:val="49"/>
          <w:rFonts w:hint="eastAsia" w:asciiTheme="majorEastAsia" w:hAnsiTheme="majorEastAsia" w:eastAsiaTheme="majorEastAsia"/>
          <w:lang w:eastAsia="zh-CN"/>
        </w:rPr>
        <w:t>作为合同执行主体，将于中选通知书发出之日起20日内与中选人完成合同签订事宜。</w:t>
      </w:r>
    </w:p>
    <w:p w14:paraId="51244C78">
      <w:pPr>
        <w:spacing w:line="440" w:lineRule="exact"/>
        <w:rPr>
          <w:rFonts w:asciiTheme="majorEastAsia" w:hAnsiTheme="majorEastAsia" w:eastAsiaTheme="majorEastAsia"/>
          <w:lang w:eastAsia="zh-CN"/>
        </w:rPr>
      </w:pPr>
    </w:p>
    <w:p w14:paraId="3E27B9C6">
      <w:pPr>
        <w:pStyle w:val="2"/>
        <w:tabs>
          <w:tab w:val="left" w:pos="3805"/>
        </w:tabs>
        <w:spacing w:line="360" w:lineRule="auto"/>
        <w:ind w:left="0"/>
        <w:jc w:val="center"/>
        <w:rPr>
          <w:lang w:eastAsia="zh-CN"/>
        </w:rPr>
      </w:pPr>
      <w:r>
        <w:rPr>
          <w:lang w:eastAsia="zh-CN"/>
        </w:rPr>
        <w:t>第六章</w:t>
      </w:r>
      <w:r>
        <w:rPr>
          <w:spacing w:val="-1"/>
          <w:w w:val="95"/>
          <w:lang w:eastAsia="zh-CN"/>
        </w:rPr>
        <w:t>中选后相关</w:t>
      </w:r>
      <w:r>
        <w:rPr>
          <w:w w:val="95"/>
          <w:lang w:eastAsia="zh-CN"/>
        </w:rPr>
        <w:t>履约要求</w:t>
      </w:r>
    </w:p>
    <w:p w14:paraId="0FBF92ED">
      <w:pPr>
        <w:pStyle w:val="19"/>
        <w:spacing w:line="360" w:lineRule="auto"/>
        <w:ind w:firstLine="482"/>
        <w:jc w:val="both"/>
        <w:rPr>
          <w:lang w:eastAsia="zh-CN"/>
        </w:rPr>
      </w:pPr>
      <w:r>
        <w:rPr>
          <w:lang w:eastAsia="zh-CN"/>
        </w:rPr>
        <w:t>1.</w:t>
      </w:r>
      <w:r>
        <w:rPr>
          <w:spacing w:val="-7"/>
          <w:lang w:eastAsia="zh-CN"/>
        </w:rPr>
        <w:t>中选单位要服从询比人的管理规定，不得影响询比人的生产运行，如有违反，取消</w:t>
      </w:r>
      <w:r>
        <w:rPr>
          <w:spacing w:val="-13"/>
          <w:lang w:eastAsia="zh-CN"/>
        </w:rPr>
        <w:t>中选单位的继续履行合同的资格，同时，由此给询比人造成的损失，询比人有权追究中选单位的全部责任。</w:t>
      </w:r>
    </w:p>
    <w:p w14:paraId="70096420">
      <w:pPr>
        <w:pStyle w:val="19"/>
        <w:spacing w:before="26" w:line="360" w:lineRule="auto"/>
        <w:ind w:left="119" w:right="108" w:firstLine="482"/>
        <w:jc w:val="both"/>
        <w:rPr>
          <w:lang w:eastAsia="zh-CN"/>
        </w:rPr>
      </w:pPr>
      <w:r>
        <w:rPr>
          <w:lang w:eastAsia="zh-CN"/>
        </w:rPr>
        <w:t>2.</w:t>
      </w:r>
      <w:r>
        <w:rPr>
          <w:spacing w:val="-2"/>
          <w:lang w:eastAsia="zh-CN"/>
        </w:rPr>
        <w:t>中选单位必须严格</w:t>
      </w:r>
      <w:r>
        <w:rPr>
          <w:rFonts w:hint="eastAsia"/>
          <w:spacing w:val="-2"/>
          <w:lang w:eastAsia="zh-CN"/>
        </w:rPr>
        <w:t>技术服务合同</w:t>
      </w:r>
      <w:r>
        <w:rPr>
          <w:lang w:eastAsia="zh-CN"/>
        </w:rPr>
        <w:t>（详见附件一</w:t>
      </w:r>
      <w:r>
        <w:rPr>
          <w:spacing w:val="-17"/>
          <w:lang w:eastAsia="zh-CN"/>
        </w:rPr>
        <w:t>）</w:t>
      </w:r>
      <w:r>
        <w:rPr>
          <w:lang w:eastAsia="zh-CN"/>
        </w:rPr>
        <w:t>的规定。</w:t>
      </w:r>
    </w:p>
    <w:p w14:paraId="4D352F50">
      <w:pPr>
        <w:pStyle w:val="19"/>
        <w:spacing w:before="26" w:line="360" w:lineRule="auto"/>
        <w:ind w:left="119" w:right="108" w:firstLine="482"/>
        <w:jc w:val="both"/>
        <w:rPr>
          <w:lang w:eastAsia="zh-CN"/>
        </w:rPr>
      </w:pPr>
      <w:r>
        <w:rPr>
          <w:lang w:eastAsia="zh-CN"/>
        </w:rPr>
        <w:t>3.</w:t>
      </w:r>
      <w:r>
        <w:rPr>
          <w:spacing w:val="-6"/>
          <w:lang w:eastAsia="zh-CN"/>
        </w:rPr>
        <w:t>中选单位需遵守询比人的各项管理规章制度。如违反相关条例者则按</w:t>
      </w:r>
      <w:r>
        <w:rPr>
          <w:rFonts w:hint="eastAsia"/>
          <w:spacing w:val="-6"/>
          <w:lang w:eastAsia="zh-CN"/>
        </w:rPr>
        <w:t>福建</w:t>
      </w:r>
      <w:r>
        <w:rPr>
          <w:spacing w:val="-6"/>
          <w:lang w:eastAsia="zh-CN"/>
        </w:rPr>
        <w:t>福海创石油化工有限公司相应条款进行处罚。</w:t>
      </w:r>
    </w:p>
    <w:p w14:paraId="2215905D">
      <w:pPr>
        <w:pStyle w:val="19"/>
        <w:spacing w:before="26" w:line="321" w:lineRule="auto"/>
        <w:ind w:left="118" w:right="106" w:firstLine="480"/>
        <w:jc w:val="both"/>
        <w:rPr>
          <w:lang w:eastAsia="zh-CN"/>
        </w:rPr>
      </w:pPr>
    </w:p>
    <w:p w14:paraId="330B002D">
      <w:pPr>
        <w:pStyle w:val="2"/>
        <w:tabs>
          <w:tab w:val="left" w:pos="1912"/>
        </w:tabs>
        <w:spacing w:line="355" w:lineRule="exact"/>
        <w:ind w:left="0" w:firstLine="2811" w:firstLineChars="1000"/>
        <w:jc w:val="both"/>
        <w:rPr>
          <w:lang w:eastAsia="zh-CN"/>
        </w:rPr>
      </w:pPr>
      <w:r>
        <w:rPr>
          <w:lang w:eastAsia="zh-CN"/>
        </w:rPr>
        <w:t>第七章</w:t>
      </w:r>
      <w:r>
        <w:rPr>
          <w:lang w:eastAsia="zh-CN"/>
        </w:rPr>
        <w:tab/>
      </w:r>
      <w:r>
        <w:rPr>
          <w:spacing w:val="-1"/>
          <w:w w:val="95"/>
          <w:lang w:eastAsia="zh-CN"/>
        </w:rPr>
        <w:t>其</w:t>
      </w:r>
      <w:r>
        <w:rPr>
          <w:w w:val="95"/>
          <w:lang w:eastAsia="zh-CN"/>
        </w:rPr>
        <w:t>它</w:t>
      </w:r>
    </w:p>
    <w:p w14:paraId="326FB0E2">
      <w:pPr>
        <w:pStyle w:val="19"/>
        <w:spacing w:line="360" w:lineRule="auto"/>
        <w:ind w:left="215"/>
        <w:rPr>
          <w:lang w:eastAsia="zh-CN"/>
        </w:rPr>
      </w:pPr>
      <w:r>
        <w:rPr>
          <w:lang w:eastAsia="zh-CN"/>
        </w:rPr>
        <w:t>1.</w:t>
      </w:r>
      <w:r>
        <w:rPr>
          <w:rFonts w:hint="eastAsia"/>
          <w:lang w:eastAsia="zh-CN"/>
        </w:rPr>
        <w:t>参比人</w:t>
      </w:r>
      <w:r>
        <w:rPr>
          <w:lang w:eastAsia="zh-CN"/>
        </w:rPr>
        <w:t>的参选文件无论其是否中选，均不退回。</w:t>
      </w:r>
    </w:p>
    <w:p w14:paraId="052F1C51">
      <w:pPr>
        <w:pStyle w:val="19"/>
        <w:spacing w:line="360" w:lineRule="auto"/>
        <w:ind w:left="215"/>
        <w:rPr>
          <w:lang w:eastAsia="zh-CN"/>
        </w:rPr>
      </w:pPr>
      <w:r>
        <w:rPr>
          <w:lang w:eastAsia="zh-CN"/>
        </w:rPr>
        <w:t>2.询比人郑重承诺：</w:t>
      </w:r>
      <w:r>
        <w:rPr>
          <w:rFonts w:hint="eastAsia"/>
          <w:lang w:eastAsia="zh-CN"/>
        </w:rPr>
        <w:t>参比人</w:t>
      </w:r>
      <w:r>
        <w:rPr>
          <w:lang w:eastAsia="zh-CN"/>
        </w:rPr>
        <w:t>所提交的参选文件及相关资料不向第三方泄露。</w:t>
      </w:r>
    </w:p>
    <w:p w14:paraId="5968452C">
      <w:pPr>
        <w:pStyle w:val="19"/>
        <w:spacing w:line="360" w:lineRule="auto"/>
        <w:ind w:left="215"/>
        <w:rPr>
          <w:lang w:eastAsia="zh-CN"/>
        </w:rPr>
      </w:pPr>
      <w:r>
        <w:rPr>
          <w:lang w:eastAsia="zh-CN"/>
        </w:rPr>
        <w:t>3.本询比文件的解释权归</w:t>
      </w:r>
      <w:r>
        <w:rPr>
          <w:rFonts w:hint="eastAsia"/>
          <w:lang w:eastAsia="zh-CN"/>
        </w:rPr>
        <w:t>福建福海创石油化工</w:t>
      </w:r>
      <w:r>
        <w:rPr>
          <w:lang w:eastAsia="zh-CN"/>
        </w:rPr>
        <w:t>有限公司。</w:t>
      </w:r>
      <w:r>
        <w:rPr>
          <w:lang w:eastAsia="zh-CN"/>
        </w:rPr>
        <w:br w:type="page"/>
      </w:r>
    </w:p>
    <w:p w14:paraId="7F8D65A6">
      <w:pPr>
        <w:pStyle w:val="19"/>
        <w:rPr>
          <w:rFonts w:ascii="Times New Roman"/>
          <w:b/>
          <w:bCs/>
          <w:lang w:eastAsia="zh-CN"/>
        </w:rPr>
      </w:pPr>
      <w:r>
        <w:rPr>
          <w:rFonts w:hint="eastAsia" w:ascii="Times New Roman"/>
          <w:b/>
          <w:bCs/>
          <w:lang w:eastAsia="zh-CN"/>
        </w:rPr>
        <w:t>附件一、</w:t>
      </w:r>
    </w:p>
    <w:p w14:paraId="480E1E25">
      <w:pPr>
        <w:pStyle w:val="24"/>
        <w:spacing w:line="400" w:lineRule="exact"/>
        <w:jc w:val="center"/>
        <w:rPr>
          <w:rFonts w:hAnsi="宋体"/>
          <w:b/>
          <w:sz w:val="28"/>
          <w:szCs w:val="28"/>
          <w:lang w:eastAsia="zh-CN"/>
        </w:rPr>
      </w:pPr>
      <w:bookmarkStart w:id="13" w:name="_Toc251742852"/>
      <w:r>
        <w:rPr>
          <w:rFonts w:hint="eastAsia" w:hAnsi="宋体"/>
          <w:b/>
          <w:sz w:val="28"/>
          <w:szCs w:val="28"/>
          <w:lang w:eastAsia="zh-CN"/>
        </w:rPr>
        <w:t>2</w:t>
      </w:r>
      <w:r>
        <w:rPr>
          <w:rFonts w:hAnsi="宋体"/>
          <w:b/>
          <w:sz w:val="28"/>
          <w:szCs w:val="28"/>
          <w:lang w:eastAsia="zh-CN"/>
        </w:rPr>
        <w:t>02</w:t>
      </w:r>
      <w:r>
        <w:rPr>
          <w:rFonts w:hint="eastAsia" w:hAnsi="宋体"/>
          <w:b/>
          <w:sz w:val="28"/>
          <w:szCs w:val="28"/>
          <w:lang w:eastAsia="zh-CN"/>
        </w:rPr>
        <w:t>6</w:t>
      </w:r>
      <w:r>
        <w:rPr>
          <w:rFonts w:hAnsi="宋体"/>
          <w:b/>
          <w:sz w:val="28"/>
          <w:szCs w:val="28"/>
          <w:lang w:eastAsia="zh-CN"/>
        </w:rPr>
        <w:t>年度</w:t>
      </w:r>
      <w:r>
        <w:rPr>
          <w:rFonts w:hint="eastAsia" w:hAnsi="宋体"/>
          <w:b/>
          <w:sz w:val="28"/>
          <w:szCs w:val="28"/>
          <w:lang w:eastAsia="zh-CN"/>
        </w:rPr>
        <w:t>火灾高危单位消防安全评估技术服务合同</w:t>
      </w:r>
    </w:p>
    <w:p w14:paraId="1F87BA27">
      <w:pPr>
        <w:pStyle w:val="24"/>
        <w:spacing w:line="400" w:lineRule="exact"/>
        <w:rPr>
          <w:rFonts w:hAnsi="宋体"/>
          <w:lang w:eastAsia="zh-CN"/>
        </w:rPr>
      </w:pPr>
      <w:r>
        <w:rPr>
          <w:rFonts w:hint="eastAsia" w:hAnsi="宋体"/>
          <w:lang w:eastAsia="zh-CN"/>
        </w:rPr>
        <w:t xml:space="preserve">                                                   合同编号：</w:t>
      </w:r>
    </w:p>
    <w:p w14:paraId="14E2AF52">
      <w:pPr>
        <w:pStyle w:val="24"/>
        <w:spacing w:line="400" w:lineRule="exact"/>
        <w:rPr>
          <w:rFonts w:hAnsi="宋体"/>
          <w:lang w:eastAsia="zh-CN"/>
        </w:rPr>
      </w:pPr>
      <w:r>
        <w:rPr>
          <w:rFonts w:hAnsi="宋体"/>
          <w:lang w:eastAsia="zh-CN"/>
        </w:rPr>
        <w:t>委托方（甲方）</w:t>
      </w:r>
      <w:r>
        <w:rPr>
          <w:rFonts w:hint="eastAsia" w:hAnsi="宋体"/>
          <w:lang w:eastAsia="zh-CN"/>
        </w:rPr>
        <w:t>：福建福海创石油化工有限公司</w:t>
      </w:r>
      <w:r>
        <w:rPr>
          <w:rFonts w:hAnsi="宋体"/>
          <w:lang w:eastAsia="zh-CN"/>
        </w:rPr>
        <w:t xml:space="preserve"> </w:t>
      </w:r>
    </w:p>
    <w:p w14:paraId="2CBBE9AB">
      <w:pPr>
        <w:pStyle w:val="24"/>
        <w:spacing w:line="400" w:lineRule="exact"/>
        <w:ind w:firstLine="1760" w:firstLineChars="800"/>
        <w:rPr>
          <w:rFonts w:hAnsi="宋体"/>
          <w:lang w:eastAsia="zh-CN"/>
        </w:rPr>
      </w:pPr>
      <w:r>
        <w:rPr>
          <w:rFonts w:hint="eastAsia" w:hAnsi="宋体"/>
          <w:lang w:eastAsia="zh-CN"/>
        </w:rPr>
        <w:t>腾龙芳烃（漳州）有限公司</w:t>
      </w:r>
    </w:p>
    <w:p w14:paraId="29569284">
      <w:pPr>
        <w:pStyle w:val="24"/>
        <w:spacing w:line="400" w:lineRule="exact"/>
        <w:rPr>
          <w:rFonts w:hAnsi="宋体"/>
          <w:lang w:eastAsia="zh-CN"/>
        </w:rPr>
      </w:pPr>
      <w:r>
        <w:rPr>
          <w:rFonts w:hAnsi="宋体"/>
          <w:lang w:eastAsia="zh-CN"/>
        </w:rPr>
        <w:t>住  所  地：</w:t>
      </w:r>
    </w:p>
    <w:p w14:paraId="325A3334">
      <w:pPr>
        <w:pStyle w:val="24"/>
        <w:spacing w:line="400" w:lineRule="exact"/>
        <w:rPr>
          <w:rFonts w:hAnsi="宋体"/>
          <w:lang w:eastAsia="zh-CN"/>
        </w:rPr>
      </w:pPr>
      <w:r>
        <w:rPr>
          <w:rFonts w:hAnsi="宋体"/>
          <w:lang w:eastAsia="zh-CN"/>
        </w:rPr>
        <w:t>项目联系人</w:t>
      </w:r>
      <w:r>
        <w:rPr>
          <w:rFonts w:hint="eastAsia" w:hAnsi="宋体"/>
          <w:lang w:eastAsia="zh-CN"/>
        </w:rPr>
        <w:t>：</w:t>
      </w:r>
    </w:p>
    <w:p w14:paraId="0E110A5A">
      <w:pPr>
        <w:pStyle w:val="24"/>
        <w:spacing w:line="400" w:lineRule="exact"/>
        <w:rPr>
          <w:rFonts w:hAnsi="宋体"/>
          <w:lang w:eastAsia="zh-CN"/>
        </w:rPr>
      </w:pPr>
      <w:r>
        <w:rPr>
          <w:rFonts w:hAnsi="宋体"/>
          <w:lang w:eastAsia="zh-CN"/>
        </w:rPr>
        <w:t>通讯地址</w:t>
      </w:r>
      <w:r>
        <w:rPr>
          <w:rFonts w:hint="eastAsia" w:hAnsi="宋体"/>
          <w:lang w:eastAsia="zh-CN"/>
        </w:rPr>
        <w:t>：</w:t>
      </w:r>
    </w:p>
    <w:p w14:paraId="6C6C1D5D">
      <w:pPr>
        <w:pStyle w:val="24"/>
        <w:spacing w:line="400" w:lineRule="exact"/>
        <w:rPr>
          <w:rFonts w:hAnsi="宋体"/>
          <w:lang w:eastAsia="zh-CN"/>
        </w:rPr>
      </w:pPr>
      <w:r>
        <w:rPr>
          <w:rFonts w:hAnsi="宋体"/>
          <w:lang w:eastAsia="zh-CN"/>
        </w:rPr>
        <w:t>电    话</w:t>
      </w:r>
      <w:r>
        <w:rPr>
          <w:rFonts w:hint="eastAsia" w:hAnsi="宋体"/>
          <w:lang w:eastAsia="zh-CN"/>
        </w:rPr>
        <w:t>：</w:t>
      </w:r>
    </w:p>
    <w:p w14:paraId="308477A4">
      <w:pPr>
        <w:pStyle w:val="24"/>
        <w:spacing w:line="400" w:lineRule="exact"/>
        <w:rPr>
          <w:rFonts w:hAnsi="宋体"/>
          <w:lang w:eastAsia="zh-CN"/>
        </w:rPr>
      </w:pPr>
      <w:r>
        <w:rPr>
          <w:rFonts w:hAnsi="宋体"/>
          <w:lang w:eastAsia="zh-CN"/>
        </w:rPr>
        <w:t>电子信箱</w:t>
      </w:r>
      <w:r>
        <w:rPr>
          <w:rFonts w:hint="eastAsia" w:hAnsi="宋体"/>
          <w:lang w:eastAsia="zh-CN"/>
        </w:rPr>
        <w:t>：</w:t>
      </w:r>
    </w:p>
    <w:p w14:paraId="03E00807">
      <w:pPr>
        <w:pStyle w:val="24"/>
        <w:spacing w:line="400" w:lineRule="exact"/>
        <w:rPr>
          <w:rFonts w:hAnsi="宋体"/>
          <w:lang w:eastAsia="zh-CN"/>
        </w:rPr>
      </w:pPr>
    </w:p>
    <w:p w14:paraId="4C0DF313">
      <w:pPr>
        <w:pStyle w:val="24"/>
        <w:spacing w:line="400" w:lineRule="exact"/>
        <w:rPr>
          <w:rFonts w:hAnsi="宋体"/>
          <w:lang w:eastAsia="zh-CN"/>
        </w:rPr>
      </w:pPr>
      <w:r>
        <w:rPr>
          <w:rFonts w:hAnsi="宋体"/>
          <w:lang w:eastAsia="zh-CN"/>
        </w:rPr>
        <w:t>受托方（乙方）</w:t>
      </w:r>
      <w:r>
        <w:rPr>
          <w:rFonts w:hint="eastAsia" w:hAnsi="宋体"/>
          <w:lang w:eastAsia="zh-CN"/>
        </w:rPr>
        <w:t>：</w:t>
      </w:r>
    </w:p>
    <w:p w14:paraId="2BB8E58C">
      <w:pPr>
        <w:pStyle w:val="24"/>
        <w:spacing w:line="400" w:lineRule="exact"/>
        <w:rPr>
          <w:rFonts w:hAnsi="宋体"/>
          <w:lang w:eastAsia="zh-CN"/>
        </w:rPr>
      </w:pPr>
      <w:r>
        <w:rPr>
          <w:rFonts w:hAnsi="宋体"/>
          <w:lang w:eastAsia="zh-CN"/>
        </w:rPr>
        <w:t>住  所  地</w:t>
      </w:r>
      <w:r>
        <w:rPr>
          <w:rFonts w:hint="eastAsia" w:hAnsi="宋体"/>
          <w:lang w:eastAsia="zh-CN"/>
        </w:rPr>
        <w:t>：</w:t>
      </w:r>
    </w:p>
    <w:p w14:paraId="4BFDF335">
      <w:pPr>
        <w:pStyle w:val="24"/>
        <w:spacing w:line="400" w:lineRule="exact"/>
        <w:rPr>
          <w:rFonts w:hAnsi="宋体"/>
          <w:lang w:eastAsia="zh-CN"/>
        </w:rPr>
      </w:pPr>
      <w:r>
        <w:rPr>
          <w:rFonts w:hint="eastAsia" w:hAnsi="宋体"/>
          <w:lang w:eastAsia="zh-CN"/>
        </w:rPr>
        <w:t>项目联系人:</w:t>
      </w:r>
    </w:p>
    <w:p w14:paraId="71B67C76">
      <w:pPr>
        <w:pStyle w:val="24"/>
        <w:spacing w:line="400" w:lineRule="exact"/>
        <w:rPr>
          <w:rFonts w:hAnsi="宋体"/>
          <w:lang w:eastAsia="zh-CN"/>
        </w:rPr>
      </w:pPr>
      <w:r>
        <w:rPr>
          <w:rFonts w:hAnsi="宋体"/>
          <w:lang w:eastAsia="zh-CN"/>
        </w:rPr>
        <w:t>通讯地址</w:t>
      </w:r>
      <w:r>
        <w:rPr>
          <w:rFonts w:hint="eastAsia" w:hAnsi="宋体"/>
          <w:lang w:eastAsia="zh-CN"/>
        </w:rPr>
        <w:t>：</w:t>
      </w:r>
    </w:p>
    <w:p w14:paraId="58C3D5E2">
      <w:pPr>
        <w:pStyle w:val="24"/>
        <w:spacing w:line="400" w:lineRule="exact"/>
        <w:rPr>
          <w:rFonts w:hAnsi="宋体"/>
          <w:lang w:eastAsia="zh-CN"/>
        </w:rPr>
      </w:pPr>
      <w:r>
        <w:rPr>
          <w:rFonts w:hAnsi="宋体"/>
          <w:lang w:eastAsia="zh-CN"/>
        </w:rPr>
        <w:t>电    话</w:t>
      </w:r>
      <w:r>
        <w:rPr>
          <w:rFonts w:hint="eastAsia" w:hAnsi="宋体"/>
          <w:lang w:eastAsia="zh-CN"/>
        </w:rPr>
        <w:t>：</w:t>
      </w:r>
    </w:p>
    <w:p w14:paraId="0CCBFEDF">
      <w:pPr>
        <w:pStyle w:val="24"/>
        <w:spacing w:line="400" w:lineRule="exact"/>
        <w:rPr>
          <w:rFonts w:hAnsi="宋体"/>
          <w:lang w:eastAsia="zh-CN"/>
        </w:rPr>
      </w:pPr>
      <w:r>
        <w:rPr>
          <w:rFonts w:hAnsi="宋体"/>
          <w:lang w:eastAsia="zh-CN"/>
        </w:rPr>
        <w:t>电子信箱</w:t>
      </w:r>
      <w:r>
        <w:rPr>
          <w:rFonts w:hint="eastAsia" w:hAnsi="宋体"/>
          <w:lang w:eastAsia="zh-CN"/>
        </w:rPr>
        <w:t>：</w:t>
      </w:r>
    </w:p>
    <w:p w14:paraId="5F3BFF39">
      <w:pPr>
        <w:pStyle w:val="24"/>
        <w:spacing w:line="400" w:lineRule="exact"/>
        <w:rPr>
          <w:rFonts w:hAnsi="宋体"/>
          <w:lang w:eastAsia="zh-CN"/>
        </w:rPr>
      </w:pPr>
      <w:r>
        <w:rPr>
          <w:rFonts w:hint="eastAsia" w:hAnsi="宋体"/>
          <w:lang w:eastAsia="zh-CN"/>
        </w:rPr>
        <w:t xml:space="preserve">    </w:t>
      </w:r>
    </w:p>
    <w:p w14:paraId="6105FA07">
      <w:pPr>
        <w:pStyle w:val="24"/>
        <w:spacing w:line="360" w:lineRule="auto"/>
        <w:rPr>
          <w:rFonts w:asciiTheme="majorEastAsia" w:hAnsiTheme="majorEastAsia" w:eastAsiaTheme="majorEastAsia"/>
          <w:sz w:val="24"/>
          <w:szCs w:val="24"/>
          <w:lang w:eastAsia="zh-CN"/>
        </w:rPr>
      </w:pPr>
      <w:r>
        <w:rPr>
          <w:rFonts w:hint="eastAsia" w:hAnsi="宋体"/>
          <w:lang w:eastAsia="zh-CN"/>
        </w:rPr>
        <w:t xml:space="preserve">    </w:t>
      </w:r>
      <w:r>
        <w:rPr>
          <w:rFonts w:hint="eastAsia" w:asciiTheme="majorEastAsia" w:hAnsiTheme="majorEastAsia" w:eastAsiaTheme="majorEastAsia"/>
          <w:sz w:val="24"/>
          <w:szCs w:val="24"/>
          <w:lang w:eastAsia="zh-CN"/>
        </w:rPr>
        <w:t xml:space="preserve">  本合同由甲方委托乙方就</w:t>
      </w:r>
      <w:r>
        <w:rPr>
          <w:rFonts w:hint="eastAsia" w:asciiTheme="majorEastAsia" w:hAnsiTheme="majorEastAsia" w:eastAsiaTheme="majorEastAsia"/>
          <w:sz w:val="24"/>
          <w:szCs w:val="24"/>
          <w:u w:val="single"/>
          <w:lang w:eastAsia="zh-CN"/>
        </w:rPr>
        <w:t>2</w:t>
      </w:r>
      <w:r>
        <w:rPr>
          <w:rFonts w:asciiTheme="majorEastAsia" w:hAnsiTheme="majorEastAsia" w:eastAsiaTheme="majorEastAsia"/>
          <w:sz w:val="24"/>
          <w:szCs w:val="24"/>
          <w:u w:val="single"/>
          <w:lang w:eastAsia="zh-CN"/>
        </w:rPr>
        <w:t>02</w:t>
      </w:r>
      <w:r>
        <w:rPr>
          <w:rFonts w:hint="eastAsia" w:asciiTheme="majorEastAsia" w:hAnsiTheme="majorEastAsia" w:eastAsiaTheme="majorEastAsia"/>
          <w:sz w:val="24"/>
          <w:szCs w:val="24"/>
          <w:u w:val="single"/>
          <w:lang w:eastAsia="zh-CN"/>
        </w:rPr>
        <w:t>6</w:t>
      </w:r>
      <w:r>
        <w:rPr>
          <w:rFonts w:asciiTheme="majorEastAsia" w:hAnsiTheme="majorEastAsia" w:eastAsiaTheme="majorEastAsia"/>
          <w:sz w:val="24"/>
          <w:szCs w:val="24"/>
          <w:u w:val="single"/>
          <w:lang w:eastAsia="zh-CN"/>
        </w:rPr>
        <w:t>年度</w:t>
      </w:r>
      <w:r>
        <w:rPr>
          <w:rFonts w:hint="eastAsia" w:asciiTheme="majorEastAsia" w:hAnsiTheme="majorEastAsia" w:eastAsiaTheme="majorEastAsia"/>
          <w:sz w:val="24"/>
          <w:szCs w:val="24"/>
          <w:u w:val="single"/>
          <w:lang w:eastAsia="zh-CN"/>
        </w:rPr>
        <w:t xml:space="preserve">火灾高危单位消防安全评估服务 </w:t>
      </w:r>
      <w:r>
        <w:rPr>
          <w:rFonts w:hint="eastAsia" w:asciiTheme="majorEastAsia" w:hAnsiTheme="majorEastAsia" w:eastAsiaTheme="majorEastAsia"/>
          <w:sz w:val="24"/>
          <w:szCs w:val="24"/>
          <w:lang w:eastAsia="zh-CN"/>
        </w:rPr>
        <w:t>进行技术服务及咨询，并支付技术服务及咨询报酬。双方经过平等协商，在真实、充分地表达各自意愿的基础上，根据《中华人民共和国民法典》的规定，达成如下协议，并由双方共同恪守。</w:t>
      </w:r>
    </w:p>
    <w:p w14:paraId="2E444D04">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w:t>
      </w:r>
      <w:r>
        <w:rPr>
          <w:rFonts w:hint="eastAsia" w:asciiTheme="majorEastAsia" w:hAnsiTheme="majorEastAsia" w:eastAsiaTheme="majorEastAsia"/>
          <w:b/>
          <w:sz w:val="24"/>
          <w:szCs w:val="24"/>
          <w:lang w:eastAsia="zh-CN"/>
        </w:rPr>
        <w:t>第一条</w:t>
      </w:r>
      <w:r>
        <w:rPr>
          <w:rFonts w:hint="eastAsia" w:asciiTheme="majorEastAsia" w:hAnsiTheme="majorEastAsia" w:eastAsiaTheme="majorEastAsia"/>
          <w:sz w:val="24"/>
          <w:szCs w:val="24"/>
          <w:lang w:eastAsia="zh-CN"/>
        </w:rPr>
        <w:t>　乙方进行技术咨询的内容、要求、方式：</w:t>
      </w:r>
    </w:p>
    <w:p w14:paraId="03221344">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1.技术服务及咨询内容：</w:t>
      </w:r>
      <w:r>
        <w:rPr>
          <w:rFonts w:hint="eastAsia" w:asciiTheme="majorEastAsia" w:hAnsiTheme="majorEastAsia" w:eastAsiaTheme="majorEastAsia"/>
          <w:sz w:val="24"/>
          <w:szCs w:val="24"/>
          <w:u w:val="single"/>
          <w:lang w:eastAsia="zh-CN"/>
        </w:rPr>
        <w:t xml:space="preserve"> 火灾高危单位消防安全评估，</w:t>
      </w:r>
      <w:bookmarkStart w:id="14" w:name="OLE_LINK1"/>
      <w:bookmarkStart w:id="15" w:name="OLE_LINK2"/>
      <w:r>
        <w:rPr>
          <w:rFonts w:hint="eastAsia" w:asciiTheme="majorEastAsia" w:hAnsiTheme="majorEastAsia" w:eastAsiaTheme="majorEastAsia"/>
          <w:sz w:val="24"/>
          <w:szCs w:val="24"/>
          <w:u w:val="single"/>
          <w:lang w:eastAsia="zh-CN"/>
        </w:rPr>
        <w:t>见附件“发包说明”</w:t>
      </w:r>
      <w:bookmarkEnd w:id="14"/>
      <w:bookmarkEnd w:id="15"/>
      <w:r>
        <w:rPr>
          <w:rFonts w:hint="eastAsia" w:asciiTheme="majorEastAsia" w:hAnsiTheme="majorEastAsia" w:eastAsiaTheme="majorEastAsia"/>
          <w:sz w:val="24"/>
          <w:szCs w:val="24"/>
          <w:u w:val="single"/>
          <w:lang w:eastAsia="zh-CN"/>
        </w:rPr>
        <w:t xml:space="preserve"> </w:t>
      </w:r>
    </w:p>
    <w:p w14:paraId="07552BA8">
      <w:pPr>
        <w:spacing w:line="360" w:lineRule="auto"/>
        <w:ind w:firstLine="480" w:firstLineChars="200"/>
        <w:rPr>
          <w:rFonts w:cs="Courier New" w:asciiTheme="majorEastAsia" w:hAnsiTheme="majorEastAsia" w:eastAsiaTheme="majorEastAsia"/>
          <w:sz w:val="24"/>
          <w:szCs w:val="24"/>
          <w:u w:val="single"/>
          <w:lang w:eastAsia="zh-CN"/>
        </w:rPr>
      </w:pPr>
      <w:r>
        <w:rPr>
          <w:rFonts w:hint="eastAsia" w:asciiTheme="majorEastAsia" w:hAnsiTheme="majorEastAsia" w:eastAsiaTheme="majorEastAsia"/>
          <w:sz w:val="24"/>
          <w:szCs w:val="24"/>
          <w:lang w:eastAsia="zh-CN"/>
        </w:rPr>
        <w:t>2.技术服务及咨询要求：</w:t>
      </w:r>
      <w:r>
        <w:rPr>
          <w:rFonts w:hint="eastAsia" w:asciiTheme="majorEastAsia" w:hAnsiTheme="majorEastAsia" w:eastAsiaTheme="majorEastAsia"/>
          <w:sz w:val="24"/>
          <w:szCs w:val="24"/>
          <w:u w:val="single"/>
          <w:lang w:eastAsia="zh-CN"/>
        </w:rPr>
        <w:t xml:space="preserve"> </w:t>
      </w:r>
      <w:r>
        <w:rPr>
          <w:rFonts w:hint="eastAsia" w:cs="Courier New" w:asciiTheme="majorEastAsia" w:hAnsiTheme="majorEastAsia" w:eastAsiaTheme="majorEastAsia"/>
          <w:sz w:val="24"/>
          <w:szCs w:val="24"/>
          <w:u w:val="single"/>
          <w:lang w:eastAsia="zh-CN"/>
        </w:rPr>
        <w:t>按照《中华人民共和国消防法》、《机关、团体、企业、事业单位消防安全管理规定（61号令）》、《福建省消防条例》、《福建省火灾高危单位消防安全管理规定》、《建筑消防设施检测技术规程》、《火灾高危单位消防安全评估导则（试行）》、《计量法》等各类消防相关法律法规及规范标准的要求以及企业内部安全管理要求为企业提供消防安全评估服务。提供的评估报告通过当地公安消防部门备案。</w:t>
      </w:r>
    </w:p>
    <w:p w14:paraId="5EAADE3D">
      <w:pPr>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第二条</w:t>
      </w:r>
      <w:r>
        <w:rPr>
          <w:rFonts w:hint="eastAsia" w:asciiTheme="majorEastAsia" w:hAnsiTheme="majorEastAsia" w:eastAsiaTheme="majorEastAsia"/>
          <w:sz w:val="24"/>
          <w:szCs w:val="24"/>
          <w:lang w:eastAsia="zh-CN"/>
        </w:rPr>
        <w:t xml:space="preserve"> 乙方按照下列要求进行本合同项目的技术咨询工作：</w:t>
      </w:r>
    </w:p>
    <w:p w14:paraId="1F669A52">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1.技术服务及咨询地点：</w:t>
      </w:r>
      <w:r>
        <w:rPr>
          <w:rFonts w:hint="eastAsia" w:asciiTheme="majorEastAsia" w:hAnsiTheme="majorEastAsia" w:eastAsiaTheme="majorEastAsia"/>
          <w:sz w:val="24"/>
          <w:szCs w:val="24"/>
          <w:u w:val="single"/>
          <w:lang w:eastAsia="zh-CN"/>
        </w:rPr>
        <w:t xml:space="preserve"> 甲方装置所在地 </w:t>
      </w:r>
    </w:p>
    <w:p w14:paraId="04D5BA20">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2.技术服务及咨询期限：</w:t>
      </w:r>
      <w:r>
        <w:rPr>
          <w:rFonts w:hint="eastAsia" w:asciiTheme="majorEastAsia" w:hAnsiTheme="majorEastAsia" w:eastAsiaTheme="majorEastAsia"/>
          <w:sz w:val="24"/>
          <w:szCs w:val="24"/>
          <w:u w:val="single"/>
          <w:lang w:eastAsia="zh-CN"/>
        </w:rPr>
        <w:t xml:space="preserve"> 自合同签订生效之日起</w:t>
      </w:r>
      <w:r>
        <w:rPr>
          <w:rFonts w:hint="eastAsia" w:asciiTheme="majorEastAsia" w:hAnsiTheme="majorEastAsia" w:eastAsiaTheme="majorEastAsia"/>
          <w:sz w:val="24"/>
          <w:szCs w:val="24"/>
          <w:u w:val="single"/>
          <w:lang w:val="en-US" w:eastAsia="zh-CN"/>
        </w:rPr>
        <w:t>30</w:t>
      </w:r>
      <w:r>
        <w:rPr>
          <w:rFonts w:hint="eastAsia" w:asciiTheme="majorEastAsia" w:hAnsiTheme="majorEastAsia" w:eastAsiaTheme="majorEastAsia"/>
          <w:sz w:val="24"/>
          <w:szCs w:val="24"/>
          <w:u w:val="single"/>
          <w:lang w:eastAsia="zh-CN"/>
        </w:rPr>
        <w:t>日</w:t>
      </w:r>
      <w:r>
        <w:rPr>
          <w:rFonts w:asciiTheme="majorEastAsia" w:hAnsiTheme="majorEastAsia" w:eastAsiaTheme="majorEastAsia"/>
          <w:sz w:val="24"/>
          <w:szCs w:val="24"/>
          <w:u w:val="single"/>
          <w:lang w:eastAsia="zh-CN"/>
        </w:rPr>
        <w:t>内完成</w:t>
      </w:r>
      <w:r>
        <w:rPr>
          <w:rFonts w:hint="eastAsia" w:asciiTheme="majorEastAsia" w:hAnsiTheme="majorEastAsia" w:eastAsiaTheme="majorEastAsia"/>
          <w:sz w:val="24"/>
          <w:szCs w:val="24"/>
          <w:u w:val="single"/>
          <w:lang w:eastAsia="zh-CN"/>
        </w:rPr>
        <w:t xml:space="preserve">  </w:t>
      </w:r>
    </w:p>
    <w:p w14:paraId="0FD84592">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3.技术服务及咨询进度：</w:t>
      </w:r>
      <w:r>
        <w:rPr>
          <w:rFonts w:hint="eastAsia" w:asciiTheme="majorEastAsia" w:hAnsiTheme="majorEastAsia" w:eastAsiaTheme="majorEastAsia"/>
          <w:sz w:val="24"/>
          <w:szCs w:val="24"/>
          <w:u w:val="single"/>
          <w:lang w:eastAsia="zh-CN"/>
        </w:rPr>
        <w:t xml:space="preserve"> 完成消防安全评估，且提供给甲方的消防安全评估需上传福建省消防总队消防平台。 </w:t>
      </w:r>
    </w:p>
    <w:p w14:paraId="15AC3EA4">
      <w:pPr>
        <w:pStyle w:val="24"/>
        <w:spacing w:line="360" w:lineRule="auto"/>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    4、技术服务及咨询质量要求：</w:t>
      </w:r>
      <w:r>
        <w:rPr>
          <w:rFonts w:hint="eastAsia" w:asciiTheme="majorEastAsia" w:hAnsiTheme="majorEastAsia" w:eastAsiaTheme="majorEastAsia"/>
          <w:sz w:val="24"/>
          <w:szCs w:val="24"/>
          <w:u w:val="single"/>
          <w:lang w:eastAsia="zh-CN"/>
        </w:rPr>
        <w:t xml:space="preserve">  详见附件“发包说明”  </w:t>
      </w:r>
    </w:p>
    <w:p w14:paraId="555EA66A">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5、技术服务及咨询质量要求：</w:t>
      </w:r>
      <w:r>
        <w:rPr>
          <w:rFonts w:hint="eastAsia" w:asciiTheme="majorEastAsia" w:hAnsiTheme="majorEastAsia" w:eastAsiaTheme="majorEastAsia"/>
          <w:sz w:val="24"/>
          <w:szCs w:val="24"/>
          <w:u w:val="single"/>
          <w:lang w:eastAsia="zh-CN"/>
        </w:rPr>
        <w:t xml:space="preserve">   全优      </w:t>
      </w:r>
    </w:p>
    <w:p w14:paraId="049C2E7F">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第三条</w:t>
      </w:r>
      <w:r>
        <w:rPr>
          <w:rFonts w:hint="eastAsia" w:asciiTheme="majorEastAsia" w:hAnsiTheme="majorEastAsia" w:eastAsiaTheme="majorEastAsia"/>
          <w:sz w:val="24"/>
          <w:szCs w:val="24"/>
          <w:lang w:eastAsia="zh-CN"/>
        </w:rPr>
        <w:t xml:space="preserve"> 为保证乙方有效进行技术咨询工作，甲方应当向乙方提供下列协作事项：</w:t>
      </w:r>
    </w:p>
    <w:p w14:paraId="4952B752">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提供技术资料：</w:t>
      </w:r>
      <w:r>
        <w:rPr>
          <w:rFonts w:hint="eastAsia" w:asciiTheme="majorEastAsia" w:hAnsiTheme="majorEastAsia" w:eastAsiaTheme="majorEastAsia"/>
          <w:sz w:val="24"/>
          <w:szCs w:val="24"/>
          <w:u w:val="single"/>
          <w:lang w:eastAsia="zh-CN"/>
        </w:rPr>
        <w:t xml:space="preserve"> 开展消防安全评估所需要的相关资料  </w:t>
      </w:r>
      <w:r>
        <w:rPr>
          <w:rFonts w:hint="eastAsia" w:asciiTheme="majorEastAsia" w:hAnsiTheme="majorEastAsia" w:eastAsiaTheme="majorEastAsia"/>
          <w:sz w:val="24"/>
          <w:szCs w:val="24"/>
          <w:lang w:eastAsia="zh-CN"/>
        </w:rPr>
        <w:t xml:space="preserve"> </w:t>
      </w:r>
    </w:p>
    <w:p w14:paraId="32949A03">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第四条</w:t>
      </w:r>
      <w:r>
        <w:rPr>
          <w:rFonts w:hint="eastAsia" w:asciiTheme="majorEastAsia" w:hAnsiTheme="majorEastAsia" w:eastAsiaTheme="majorEastAsia"/>
          <w:sz w:val="24"/>
          <w:szCs w:val="24"/>
          <w:lang w:eastAsia="zh-CN"/>
        </w:rPr>
        <w:t xml:space="preserve"> 甲方向乙方支付技术服务及咨询报酬及支付方式为：</w:t>
      </w:r>
    </w:p>
    <w:p w14:paraId="41024CB1">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 技术服务及咨询报酬总价款为：</w:t>
      </w:r>
      <w:r>
        <w:rPr>
          <w:rFonts w:asciiTheme="majorEastAsia" w:hAnsiTheme="majorEastAsia" w:eastAsiaTheme="majorEastAsia"/>
          <w:sz w:val="24"/>
          <w:szCs w:val="24"/>
          <w:lang w:eastAsia="zh-CN"/>
        </w:rPr>
        <w:t>人民币</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 xml:space="preserve">元整（￥  </w:t>
      </w:r>
      <w:r>
        <w:rPr>
          <w:rFonts w:asciiTheme="majorEastAsia" w:hAnsiTheme="majorEastAsia" w:eastAsiaTheme="majorEastAsia"/>
          <w:sz w:val="24"/>
          <w:szCs w:val="24"/>
          <w:lang w:eastAsia="zh-CN"/>
        </w:rPr>
        <w:t>元</w:t>
      </w:r>
      <w:r>
        <w:rPr>
          <w:rFonts w:hint="eastAsia" w:asciiTheme="majorEastAsia" w:hAnsiTheme="majorEastAsia" w:eastAsiaTheme="majorEastAsia"/>
          <w:sz w:val="24"/>
          <w:szCs w:val="24"/>
          <w:lang w:eastAsia="zh-CN"/>
        </w:rPr>
        <w:t>）（含  %增值税）。其中福建福海创石油化工有限公司的费用为</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元</w:t>
      </w:r>
      <w:r>
        <w:rPr>
          <w:rFonts w:asciiTheme="majorEastAsia" w:hAnsiTheme="majorEastAsia" w:eastAsiaTheme="majorEastAsia"/>
          <w:sz w:val="24"/>
          <w:szCs w:val="24"/>
          <w:lang w:eastAsia="zh-CN"/>
        </w:rPr>
        <w:t>，腾龙芳烃漳州有限公司的费用为</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元</w:t>
      </w:r>
      <w:r>
        <w:rPr>
          <w:rFonts w:asciiTheme="majorEastAsia" w:hAnsiTheme="majorEastAsia" w:eastAsiaTheme="majorEastAsia"/>
          <w:sz w:val="24"/>
          <w:szCs w:val="24"/>
          <w:lang w:eastAsia="zh-CN"/>
        </w:rPr>
        <w:t>。</w:t>
      </w:r>
    </w:p>
    <w:p w14:paraId="13C8775E">
      <w:pPr>
        <w:pStyle w:val="24"/>
        <w:spacing w:line="360" w:lineRule="auto"/>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 xml:space="preserve">    具体支付方式和时间分配如下：</w:t>
      </w:r>
    </w:p>
    <w:p w14:paraId="11691AD6">
      <w:pPr>
        <w:pStyle w:val="24"/>
        <w:spacing w:line="360" w:lineRule="auto"/>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 xml:space="preserve">   </w:t>
      </w:r>
      <w:r>
        <w:rPr>
          <w:rFonts w:hint="eastAsia" w:asciiTheme="majorEastAsia" w:hAnsiTheme="majorEastAsia" w:eastAsiaTheme="majorEastAsia"/>
          <w:sz w:val="24"/>
          <w:szCs w:val="24"/>
          <w:lang w:eastAsia="zh-CN"/>
        </w:rPr>
        <w:t>（1）乙方按照合同约定提供</w:t>
      </w:r>
      <w:r>
        <w:rPr>
          <w:rFonts w:asciiTheme="majorEastAsia" w:hAnsiTheme="majorEastAsia" w:eastAsiaTheme="majorEastAsia"/>
          <w:sz w:val="24"/>
          <w:szCs w:val="24"/>
          <w:lang w:eastAsia="zh-CN"/>
        </w:rPr>
        <w:t>完整</w:t>
      </w:r>
      <w:r>
        <w:rPr>
          <w:rFonts w:hint="eastAsia" w:asciiTheme="majorEastAsia" w:hAnsiTheme="majorEastAsia" w:eastAsiaTheme="majorEastAsia"/>
          <w:sz w:val="24"/>
          <w:szCs w:val="24"/>
          <w:lang w:eastAsia="zh-CN"/>
        </w:rPr>
        <w:t>的服务，并出具经甲方认可的正式</w:t>
      </w:r>
      <w:r>
        <w:rPr>
          <w:rFonts w:hint="eastAsia" w:asciiTheme="majorEastAsia" w:hAnsiTheme="majorEastAsia" w:eastAsiaTheme="majorEastAsia"/>
          <w:sz w:val="24"/>
          <w:szCs w:val="24"/>
          <w:u w:val="single"/>
          <w:lang w:eastAsia="zh-CN"/>
        </w:rPr>
        <w:t xml:space="preserve"> 消防安全评估 </w:t>
      </w:r>
      <w:r>
        <w:rPr>
          <w:rFonts w:asciiTheme="majorEastAsia" w:hAnsiTheme="majorEastAsia" w:eastAsiaTheme="majorEastAsia"/>
          <w:sz w:val="24"/>
          <w:szCs w:val="24"/>
          <w:lang w:eastAsia="zh-CN"/>
        </w:rPr>
        <w:t>报告，</w:t>
      </w:r>
      <w:r>
        <w:rPr>
          <w:rFonts w:hint="eastAsia" w:asciiTheme="majorEastAsia" w:hAnsiTheme="majorEastAsia" w:eastAsiaTheme="majorEastAsia"/>
          <w:sz w:val="24"/>
          <w:szCs w:val="24"/>
          <w:lang w:val="en-US" w:eastAsia="zh-CN"/>
        </w:rPr>
        <w:t>并</w:t>
      </w:r>
      <w:r>
        <w:rPr>
          <w:rFonts w:asciiTheme="majorEastAsia" w:hAnsiTheme="majorEastAsia" w:eastAsiaTheme="majorEastAsia"/>
          <w:sz w:val="24"/>
          <w:szCs w:val="24"/>
          <w:lang w:eastAsia="zh-CN"/>
        </w:rPr>
        <w:t>在</w:t>
      </w:r>
      <w:r>
        <w:rPr>
          <w:rFonts w:hint="eastAsia" w:asciiTheme="majorEastAsia" w:hAnsiTheme="majorEastAsia" w:eastAsiaTheme="majorEastAsia"/>
          <w:sz w:val="24"/>
          <w:szCs w:val="24"/>
          <w:lang w:eastAsia="zh-CN"/>
        </w:rPr>
        <w:t>消防安全评估报告上传福建省消防总队平台后</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u w:val="single"/>
          <w:lang w:val="en-US" w:eastAsia="zh-CN"/>
        </w:rPr>
        <w:t>20</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个工作日内，甲方支付合同款</w:t>
      </w:r>
      <w:r>
        <w:rPr>
          <w:rFonts w:hint="eastAsia" w:asciiTheme="majorEastAsia" w:hAnsiTheme="majorEastAsia" w:eastAsiaTheme="majorEastAsia"/>
          <w:sz w:val="24"/>
          <w:szCs w:val="24"/>
          <w:lang w:val="en-US" w:eastAsia="zh-CN"/>
        </w:rPr>
        <w:t>100%</w:t>
      </w:r>
      <w:r>
        <w:rPr>
          <w:rFonts w:hint="eastAsia" w:asciiTheme="majorEastAsia" w:hAnsiTheme="majorEastAsia" w:eastAsiaTheme="majorEastAsia"/>
          <w:sz w:val="24"/>
          <w:szCs w:val="24"/>
          <w:lang w:eastAsia="zh-CN"/>
        </w:rPr>
        <w:t>，即人民币</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 xml:space="preserve">元整（￥    </w:t>
      </w:r>
      <w:r>
        <w:rPr>
          <w:rFonts w:asciiTheme="majorEastAsia" w:hAnsiTheme="majorEastAsia" w:eastAsiaTheme="majorEastAsia"/>
          <w:sz w:val="24"/>
          <w:szCs w:val="24"/>
          <w:lang w:eastAsia="zh-CN"/>
        </w:rPr>
        <w:t>元</w:t>
      </w:r>
      <w:r>
        <w:rPr>
          <w:rFonts w:hint="eastAsia" w:asciiTheme="majorEastAsia" w:hAnsiTheme="majorEastAsia" w:eastAsiaTheme="majorEastAsia"/>
          <w:sz w:val="24"/>
          <w:szCs w:val="24"/>
          <w:lang w:eastAsia="zh-CN"/>
        </w:rPr>
        <w:t>）。</w:t>
      </w:r>
    </w:p>
    <w:p w14:paraId="634178DC">
      <w:pPr>
        <w:pStyle w:val="24"/>
        <w:spacing w:line="360" w:lineRule="auto"/>
        <w:ind w:firstLine="360" w:firstLineChars="15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（2）乙方的参选保证金（无息），将在合同签订后自动转为履约保证金，将于合同周期完成后</w:t>
      </w:r>
      <w:r>
        <w:rPr>
          <w:rFonts w:hint="eastAsia" w:asciiTheme="majorEastAsia" w:hAnsiTheme="majorEastAsia" w:eastAsiaTheme="majorEastAsia"/>
          <w:sz w:val="24"/>
          <w:szCs w:val="24"/>
          <w:lang w:val="en-US" w:eastAsia="zh-CN"/>
        </w:rPr>
        <w:t>20</w:t>
      </w:r>
      <w:r>
        <w:rPr>
          <w:rFonts w:hint="eastAsia" w:asciiTheme="majorEastAsia" w:hAnsiTheme="majorEastAsia" w:eastAsiaTheme="majorEastAsia"/>
          <w:sz w:val="24"/>
          <w:szCs w:val="24"/>
          <w:lang w:eastAsia="zh-CN"/>
        </w:rPr>
        <w:t>个工作日内，甲方无息退还履约保证金；</w:t>
      </w:r>
    </w:p>
    <w:p w14:paraId="50A428F4">
      <w:pPr>
        <w:pStyle w:val="24"/>
        <w:spacing w:line="360" w:lineRule="auto"/>
        <w:ind w:firstLine="360" w:firstLineChars="15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（3）乙方应在甲方付款期限届满</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20</w:t>
      </w:r>
      <w:r>
        <w:rPr>
          <w:rFonts w:hint="eastAsia" w:asciiTheme="majorEastAsia" w:hAnsiTheme="majorEastAsia" w:eastAsiaTheme="majorEastAsia"/>
          <w:sz w:val="24"/>
          <w:szCs w:val="24"/>
          <w:u w:val="single"/>
          <w:lang w:eastAsia="zh-CN"/>
        </w:rPr>
        <w:t>个工作</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日前提供正式增值税专用发票，否则甲方有权顺延付款。上述技术服务及咨询报酬直接支付至乙方指定的下列账号：</w:t>
      </w:r>
    </w:p>
    <w:p w14:paraId="33616402">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乙方公司名称：</w:t>
      </w:r>
      <w:r>
        <w:rPr>
          <w:rFonts w:hint="eastAsia" w:asciiTheme="majorEastAsia" w:hAnsiTheme="majorEastAsia" w:eastAsiaTheme="majorEastAsia"/>
          <w:sz w:val="24"/>
          <w:szCs w:val="24"/>
          <w:u w:val="single"/>
          <w:lang w:eastAsia="zh-CN"/>
        </w:rPr>
        <w:t xml:space="preserve">                  </w:t>
      </w:r>
    </w:p>
    <w:p w14:paraId="014326B0">
      <w:pPr>
        <w:pStyle w:val="24"/>
        <w:spacing w:line="360" w:lineRule="auto"/>
        <w:ind w:firstLine="480" w:firstLineChars="200"/>
        <w:rPr>
          <w:rFonts w:asciiTheme="majorEastAsia" w:hAnsiTheme="majorEastAsia" w:eastAsiaTheme="majorEastAsia"/>
          <w:sz w:val="24"/>
          <w:szCs w:val="24"/>
          <w:u w:val="single"/>
          <w:lang w:eastAsia="zh-CN"/>
        </w:rPr>
      </w:pPr>
      <w:r>
        <w:rPr>
          <w:rFonts w:hint="eastAsia" w:asciiTheme="majorEastAsia" w:hAnsiTheme="majorEastAsia" w:eastAsiaTheme="majorEastAsia"/>
          <w:sz w:val="24"/>
          <w:szCs w:val="24"/>
          <w:lang w:eastAsia="zh-CN"/>
        </w:rPr>
        <w:t>开户银行：</w:t>
      </w:r>
      <w:r>
        <w:rPr>
          <w:rFonts w:hint="eastAsia" w:asciiTheme="majorEastAsia" w:hAnsiTheme="majorEastAsia" w:eastAsiaTheme="majorEastAsia"/>
          <w:sz w:val="24"/>
          <w:szCs w:val="24"/>
          <w:u w:val="single"/>
          <w:lang w:eastAsia="zh-CN"/>
        </w:rPr>
        <w:t xml:space="preserve">                      </w:t>
      </w:r>
    </w:p>
    <w:p w14:paraId="7897DCEA">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账    号：</w:t>
      </w:r>
      <w:r>
        <w:rPr>
          <w:rFonts w:hint="eastAsia" w:asciiTheme="majorEastAsia" w:hAnsiTheme="majorEastAsia" w:eastAsiaTheme="majorEastAsia"/>
          <w:sz w:val="24"/>
          <w:szCs w:val="24"/>
          <w:u w:val="single"/>
          <w:lang w:eastAsia="zh-CN"/>
        </w:rPr>
        <w:t xml:space="preserve">                     </w:t>
      </w:r>
    </w:p>
    <w:p w14:paraId="3397D039">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第五条</w:t>
      </w:r>
      <w:r>
        <w:rPr>
          <w:rFonts w:hint="eastAsia" w:asciiTheme="majorEastAsia" w:hAnsiTheme="majorEastAsia" w:eastAsiaTheme="majorEastAsia"/>
          <w:sz w:val="24"/>
          <w:szCs w:val="24"/>
          <w:lang w:eastAsia="zh-CN"/>
        </w:rPr>
        <w:t xml:space="preserve"> 双方确定因履行本合同应遵守的保密义务如下：</w:t>
      </w:r>
    </w:p>
    <w:p w14:paraId="47FE0069">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甲方：</w:t>
      </w:r>
    </w:p>
    <w:p w14:paraId="26808D3B">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1.保密内容：乙方提供的资料，服务咨询报告及该服务咨询报告的附件资料除外。</w:t>
      </w:r>
    </w:p>
    <w:p w14:paraId="7E0476AA">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2.涉密人员范围：甲方及甲方工作人员 </w:t>
      </w:r>
    </w:p>
    <w:p w14:paraId="1EF50E7C">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3.泄密责任：  按本合同约定及国家有关保密法的规定执行 </w:t>
      </w:r>
    </w:p>
    <w:p w14:paraId="74E295F2">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乙方：</w:t>
      </w:r>
    </w:p>
    <w:p w14:paraId="6B3AD85C">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1.保密内容：甲方提供的资料以及乙方在提供本合同约定服务过程中知悉的甲方技术信息、经营信息、生产工艺、操作流程等。 </w:t>
      </w:r>
    </w:p>
    <w:p w14:paraId="6DDCE43D">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2.涉密人员范围：乙方及乙方工作人员 </w:t>
      </w:r>
    </w:p>
    <w:p w14:paraId="019C9F18">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 xml:space="preserve">3.泄密责任：按本合同约定及国家有关保密法的规定执行 </w:t>
      </w:r>
    </w:p>
    <w:p w14:paraId="67E4190F">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第六条</w:t>
      </w:r>
      <w:r>
        <w:rPr>
          <w:rFonts w:hint="eastAsia" w:asciiTheme="majorEastAsia" w:hAnsiTheme="majorEastAsia" w:eastAsiaTheme="majorEastAsia"/>
          <w:sz w:val="24"/>
          <w:szCs w:val="24"/>
          <w:lang w:eastAsia="zh-CN"/>
        </w:rPr>
        <w:t xml:space="preserve"> 本合同的变更必须由双方协商一致，并以书面形式确定。</w:t>
      </w:r>
    </w:p>
    <w:p w14:paraId="17D85607">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第七条</w:t>
      </w:r>
      <w:r>
        <w:rPr>
          <w:rFonts w:hint="eastAsia" w:asciiTheme="majorEastAsia" w:hAnsiTheme="majorEastAsia" w:eastAsiaTheme="majorEastAsia"/>
          <w:sz w:val="24"/>
          <w:szCs w:val="24"/>
          <w:lang w:eastAsia="zh-CN"/>
        </w:rPr>
        <w:t xml:space="preserve"> 双方确定，按以下标准和方式对乙方提交的技术咨询工作成果进行验收：</w:t>
      </w:r>
    </w:p>
    <w:p w14:paraId="26ADCF57">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1、乙方提交技术</w:t>
      </w:r>
      <w:r>
        <w:rPr>
          <w:rFonts w:hint="eastAsia" w:asciiTheme="majorEastAsia" w:hAnsiTheme="majorEastAsia" w:eastAsiaTheme="majorEastAsia"/>
          <w:sz w:val="24"/>
          <w:szCs w:val="24"/>
          <w:u w:val="single"/>
          <w:lang w:eastAsia="zh-CN"/>
        </w:rPr>
        <w:t xml:space="preserve"> 服务</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工作成果的形式：</w:t>
      </w:r>
      <w:r>
        <w:rPr>
          <w:rFonts w:hint="eastAsia" w:asciiTheme="majorEastAsia" w:hAnsiTheme="majorEastAsia" w:eastAsiaTheme="majorEastAsia"/>
          <w:sz w:val="24"/>
          <w:szCs w:val="24"/>
          <w:u w:val="single"/>
          <w:lang w:eastAsia="zh-CN"/>
        </w:rPr>
        <w:t xml:space="preserve">  消防安全评估报告</w:t>
      </w:r>
      <w:r>
        <w:rPr>
          <w:rFonts w:asciiTheme="majorEastAsia" w:hAnsiTheme="majorEastAsia" w:eastAsiaTheme="majorEastAsia"/>
          <w:sz w:val="24"/>
          <w:szCs w:val="24"/>
          <w:u w:val="single"/>
          <w:lang w:eastAsia="zh-CN"/>
        </w:rPr>
        <w:t xml:space="preserve">  </w:t>
      </w:r>
    </w:p>
    <w:p w14:paraId="79DA0361">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2、技术</w:t>
      </w:r>
      <w:r>
        <w:rPr>
          <w:rFonts w:hint="eastAsia" w:asciiTheme="majorEastAsia" w:hAnsiTheme="majorEastAsia" w:eastAsiaTheme="majorEastAsia"/>
          <w:sz w:val="24"/>
          <w:szCs w:val="24"/>
          <w:u w:val="single"/>
          <w:lang w:eastAsia="zh-CN"/>
        </w:rPr>
        <w:t xml:space="preserve"> 服务</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工作成果的验收标准：</w:t>
      </w:r>
      <w:r>
        <w:rPr>
          <w:rFonts w:hint="eastAsia" w:asciiTheme="majorEastAsia" w:hAnsiTheme="majorEastAsia" w:eastAsiaTheme="majorEastAsia"/>
          <w:sz w:val="24"/>
          <w:szCs w:val="24"/>
          <w:u w:val="single"/>
          <w:lang w:eastAsia="zh-CN"/>
        </w:rPr>
        <w:t xml:space="preserve">  完成上传福建省消防总队消防平台</w:t>
      </w:r>
      <w:r>
        <w:rPr>
          <w:rFonts w:asciiTheme="majorEastAsia" w:hAnsiTheme="majorEastAsia" w:eastAsiaTheme="majorEastAsia"/>
          <w:sz w:val="24"/>
          <w:szCs w:val="24"/>
          <w:u w:val="single"/>
          <w:lang w:eastAsia="zh-CN"/>
        </w:rPr>
        <w:t xml:space="preserve">  </w:t>
      </w:r>
    </w:p>
    <w:p w14:paraId="774D9F27">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3、验收地点：</w:t>
      </w:r>
      <w:r>
        <w:rPr>
          <w:rFonts w:hint="eastAsia" w:asciiTheme="majorEastAsia" w:hAnsiTheme="majorEastAsia" w:eastAsiaTheme="majorEastAsia"/>
          <w:sz w:val="24"/>
          <w:szCs w:val="24"/>
          <w:u w:val="single"/>
          <w:lang w:eastAsia="zh-CN"/>
        </w:rPr>
        <w:t xml:space="preserve">  甲方所在地</w:t>
      </w:r>
      <w:r>
        <w:rPr>
          <w:rFonts w:asciiTheme="majorEastAsia" w:hAnsiTheme="majorEastAsia" w:eastAsiaTheme="majorEastAsia"/>
          <w:sz w:val="24"/>
          <w:szCs w:val="24"/>
          <w:u w:val="single"/>
          <w:lang w:eastAsia="zh-CN"/>
        </w:rPr>
        <w:t xml:space="preserve">   </w:t>
      </w:r>
    </w:p>
    <w:p w14:paraId="16C59622">
      <w:pPr>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4、双方确认，甲方的验收仅作为付款依据，不代表甲方对乙方工作成果的最终认可。在技术咨询成果运用过程中，如有证据表明乙方存在弄虚作假等违反合同约定的情形，甲方仍有权要求乙方承担由此造成的损失和法律后果。</w:t>
      </w:r>
    </w:p>
    <w:p w14:paraId="2C674D5C">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第八条</w:t>
      </w:r>
      <w:r>
        <w:rPr>
          <w:rFonts w:hint="eastAsia" w:asciiTheme="majorEastAsia" w:hAnsiTheme="majorEastAsia" w:eastAsiaTheme="majorEastAsia"/>
          <w:sz w:val="24"/>
          <w:szCs w:val="24"/>
          <w:lang w:eastAsia="zh-CN"/>
        </w:rPr>
        <w:t xml:space="preserve"> 双方确定，甲方指定</w:t>
      </w:r>
      <w:r>
        <w:rPr>
          <w:rFonts w:hint="eastAsia" w:asciiTheme="majorEastAsia" w:hAnsiTheme="majorEastAsia" w:eastAsiaTheme="majorEastAsia"/>
          <w:sz w:val="24"/>
          <w:szCs w:val="24"/>
          <w:u w:val="single"/>
          <w:lang w:eastAsia="zh-CN"/>
        </w:rPr>
        <w:t xml:space="preserve"> 邵云中</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为甲方项目联系人，乙方指定</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为乙方项目联系人。</w:t>
      </w:r>
    </w:p>
    <w:p w14:paraId="76E1C76C">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第九条</w:t>
      </w:r>
      <w:r>
        <w:rPr>
          <w:rFonts w:hint="eastAsia" w:asciiTheme="majorEastAsia" w:hAnsiTheme="majorEastAsia" w:eastAsiaTheme="majorEastAsia"/>
          <w:sz w:val="24"/>
          <w:szCs w:val="24"/>
          <w:lang w:eastAsia="zh-CN"/>
        </w:rPr>
        <w:t xml:space="preserve">  违约责任</w:t>
      </w:r>
    </w:p>
    <w:p w14:paraId="69F7829A">
      <w:pPr>
        <w:spacing w:line="360" w:lineRule="auto"/>
        <w:ind w:firstLine="480" w:firstLineChars="200"/>
        <w:rPr>
          <w:rStyle w:val="78"/>
          <w:rFonts w:asciiTheme="majorEastAsia" w:hAnsiTheme="majorEastAsia" w:eastAsiaTheme="majorEastAsia"/>
          <w:color w:val="000000"/>
          <w:sz w:val="24"/>
          <w:szCs w:val="24"/>
          <w:lang w:eastAsia="zh-CN"/>
        </w:rPr>
      </w:pPr>
      <w:r>
        <w:rPr>
          <w:rStyle w:val="78"/>
          <w:rFonts w:hint="eastAsia" w:asciiTheme="majorEastAsia" w:hAnsiTheme="majorEastAsia" w:eastAsiaTheme="majorEastAsia"/>
          <w:color w:val="000000"/>
          <w:sz w:val="24"/>
          <w:szCs w:val="24"/>
          <w:lang w:eastAsia="zh-CN"/>
        </w:rPr>
        <w:t>1．乙方逾期提交服务咨询报告的，每日应向甲方支付违约金人民币</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10</w:t>
      </w:r>
      <w:r>
        <w:rPr>
          <w:rFonts w:hint="eastAsia" w:asciiTheme="majorEastAsia" w:hAnsiTheme="majorEastAsia" w:eastAsiaTheme="majorEastAsia"/>
          <w:sz w:val="24"/>
          <w:szCs w:val="24"/>
          <w:u w:val="single"/>
          <w:lang w:eastAsia="zh-CN"/>
        </w:rPr>
        <w:t>00</w:t>
      </w:r>
      <w:r>
        <w:rPr>
          <w:rFonts w:asciiTheme="majorEastAsia" w:hAnsiTheme="majorEastAsia" w:eastAsiaTheme="majorEastAsia"/>
          <w:sz w:val="24"/>
          <w:szCs w:val="24"/>
          <w:u w:val="single"/>
          <w:lang w:eastAsia="zh-CN"/>
        </w:rPr>
        <w:t xml:space="preserve"> </w:t>
      </w:r>
      <w:r>
        <w:rPr>
          <w:rStyle w:val="78"/>
          <w:rFonts w:hint="eastAsia" w:asciiTheme="majorEastAsia" w:hAnsiTheme="majorEastAsia" w:eastAsiaTheme="majorEastAsia"/>
          <w:color w:val="000000"/>
          <w:sz w:val="24"/>
          <w:szCs w:val="24"/>
          <w:lang w:eastAsia="zh-CN"/>
        </w:rPr>
        <w:t>元，逾期超过</w:t>
      </w:r>
      <w:r>
        <w:rPr>
          <w:rFonts w:hint="eastAsia" w:asciiTheme="majorEastAsia" w:hAnsiTheme="majorEastAsia" w:eastAsiaTheme="majorEastAsia"/>
          <w:sz w:val="24"/>
          <w:szCs w:val="24"/>
          <w:u w:val="single"/>
          <w:lang w:eastAsia="zh-CN"/>
        </w:rPr>
        <w:t xml:space="preserve"> 10</w:t>
      </w:r>
      <w:r>
        <w:rPr>
          <w:rStyle w:val="78"/>
          <w:rFonts w:hint="eastAsia" w:asciiTheme="majorEastAsia" w:hAnsiTheme="majorEastAsia" w:eastAsiaTheme="majorEastAsia"/>
          <w:color w:val="000000"/>
          <w:sz w:val="24"/>
          <w:szCs w:val="24"/>
          <w:lang w:eastAsia="zh-CN"/>
        </w:rPr>
        <w:t>日的，甲方还有权解除本合同并要求乙方退还已经收取的费用。</w:t>
      </w:r>
    </w:p>
    <w:p w14:paraId="63C412E6">
      <w:pPr>
        <w:pStyle w:val="24"/>
        <w:spacing w:line="360" w:lineRule="auto"/>
        <w:ind w:firstLine="480" w:firstLineChars="200"/>
        <w:rPr>
          <w:rStyle w:val="78"/>
          <w:rFonts w:asciiTheme="majorEastAsia" w:hAnsiTheme="majorEastAsia" w:eastAsiaTheme="majorEastAsia"/>
          <w:color w:val="000000"/>
          <w:sz w:val="24"/>
          <w:szCs w:val="24"/>
          <w:lang w:eastAsia="zh-CN"/>
        </w:rPr>
      </w:pPr>
      <w:r>
        <w:rPr>
          <w:rStyle w:val="78"/>
          <w:rFonts w:hint="eastAsia" w:asciiTheme="majorEastAsia" w:hAnsiTheme="majorEastAsia" w:eastAsiaTheme="majorEastAsia"/>
          <w:color w:val="000000"/>
          <w:sz w:val="24"/>
          <w:szCs w:val="24"/>
          <w:lang w:eastAsia="zh-CN"/>
        </w:rPr>
        <w:t>2．乙方提交的服务咨询报告不符合合同约定的，应在甲方指定期限内修改完善直至符合合同约定为止，由此造成逾期提交的，按照第1款约定执行。</w:t>
      </w:r>
    </w:p>
    <w:p w14:paraId="0F9B1102">
      <w:pPr>
        <w:pStyle w:val="24"/>
        <w:spacing w:line="360" w:lineRule="auto"/>
        <w:ind w:firstLine="480" w:firstLineChars="200"/>
        <w:rPr>
          <w:rStyle w:val="78"/>
          <w:rFonts w:asciiTheme="majorEastAsia" w:hAnsiTheme="majorEastAsia" w:eastAsiaTheme="majorEastAsia"/>
          <w:color w:val="000000"/>
          <w:sz w:val="24"/>
          <w:szCs w:val="24"/>
          <w:lang w:eastAsia="zh-CN"/>
        </w:rPr>
      </w:pPr>
      <w:r>
        <w:rPr>
          <w:rStyle w:val="78"/>
          <w:rFonts w:hint="eastAsia" w:asciiTheme="majorEastAsia" w:hAnsiTheme="majorEastAsia" w:eastAsiaTheme="majorEastAsia"/>
          <w:color w:val="000000"/>
          <w:sz w:val="24"/>
          <w:szCs w:val="24"/>
          <w:lang w:eastAsia="zh-CN"/>
        </w:rPr>
        <w:t>3．任何一方违反保密义务的，应向对方支付违约金人民币</w:t>
      </w:r>
      <w:r>
        <w:rPr>
          <w:rFonts w:hint="eastAsia" w:asciiTheme="majorEastAsia" w:hAnsiTheme="majorEastAsia" w:eastAsiaTheme="majorEastAsia"/>
          <w:sz w:val="24"/>
          <w:szCs w:val="24"/>
          <w:u w:val="single"/>
          <w:lang w:eastAsia="zh-CN"/>
        </w:rPr>
        <w:t xml:space="preserve">  10000</w:t>
      </w:r>
      <w:r>
        <w:rPr>
          <w:rFonts w:asciiTheme="majorEastAsia" w:hAnsiTheme="majorEastAsia" w:eastAsiaTheme="majorEastAsia"/>
          <w:sz w:val="24"/>
          <w:szCs w:val="24"/>
          <w:u w:val="single"/>
          <w:lang w:eastAsia="zh-CN"/>
        </w:rPr>
        <w:t xml:space="preserve"> </w:t>
      </w:r>
      <w:r>
        <w:rPr>
          <w:rStyle w:val="78"/>
          <w:rFonts w:hint="eastAsia" w:asciiTheme="majorEastAsia" w:hAnsiTheme="majorEastAsia" w:eastAsiaTheme="majorEastAsia"/>
          <w:color w:val="000000"/>
          <w:sz w:val="24"/>
          <w:szCs w:val="24"/>
          <w:lang w:eastAsia="zh-CN"/>
        </w:rPr>
        <w:t>元；赔偿由此给对方造成的损失。</w:t>
      </w:r>
    </w:p>
    <w:p w14:paraId="6559FF01">
      <w:pPr>
        <w:pStyle w:val="24"/>
        <w:spacing w:line="360" w:lineRule="auto"/>
        <w:ind w:firstLine="480" w:firstLineChars="200"/>
        <w:rPr>
          <w:rFonts w:asciiTheme="majorEastAsia" w:hAnsiTheme="majorEastAsia" w:eastAsiaTheme="majorEastAsia"/>
          <w:sz w:val="24"/>
          <w:szCs w:val="24"/>
          <w:lang w:eastAsia="zh-CN"/>
        </w:rPr>
      </w:pPr>
      <w:r>
        <w:rPr>
          <w:rStyle w:val="78"/>
          <w:rFonts w:hint="eastAsia" w:asciiTheme="majorEastAsia" w:hAnsiTheme="majorEastAsia" w:eastAsiaTheme="majorEastAsia"/>
          <w:color w:val="000000"/>
          <w:sz w:val="24"/>
          <w:szCs w:val="24"/>
          <w:lang w:eastAsia="zh-CN"/>
        </w:rPr>
        <w:t>4</w:t>
      </w:r>
      <w:r>
        <w:rPr>
          <w:rStyle w:val="78"/>
          <w:rFonts w:asciiTheme="majorEastAsia" w:hAnsiTheme="majorEastAsia" w:eastAsiaTheme="majorEastAsia"/>
          <w:color w:val="000000"/>
          <w:sz w:val="24"/>
          <w:szCs w:val="24"/>
          <w:lang w:eastAsia="zh-CN"/>
        </w:rPr>
        <w:t>.</w:t>
      </w:r>
      <w:r>
        <w:rPr>
          <w:rFonts w:hint="eastAsia" w:asciiTheme="majorEastAsia" w:hAnsiTheme="majorEastAsia" w:eastAsiaTheme="majorEastAsia"/>
          <w:sz w:val="24"/>
          <w:szCs w:val="24"/>
          <w:lang w:eastAsia="zh-CN"/>
        </w:rPr>
        <w:t xml:space="preserve"> </w:t>
      </w:r>
      <w:r>
        <w:rPr>
          <w:rStyle w:val="78"/>
          <w:rFonts w:hint="eastAsia" w:asciiTheme="majorEastAsia" w:hAnsiTheme="majorEastAsia" w:eastAsiaTheme="majorEastAsia"/>
          <w:color w:val="000000"/>
          <w:sz w:val="24"/>
          <w:szCs w:val="24"/>
          <w:lang w:eastAsia="zh-CN"/>
        </w:rPr>
        <w:t>甲方无正当理由未按本合同规定履行向乙方支付服务费的，应以未付款项为基数，应按全国银行间同业拆借中心公布的一年期贷款市场报价利率向乙方支付利息。（最多不超过合同暂定总额的</w:t>
      </w:r>
      <w:r>
        <w:rPr>
          <w:rStyle w:val="78"/>
          <w:rFonts w:asciiTheme="majorEastAsia" w:hAnsiTheme="majorEastAsia" w:eastAsiaTheme="majorEastAsia"/>
          <w:color w:val="000000"/>
          <w:sz w:val="24"/>
          <w:szCs w:val="24"/>
          <w:lang w:eastAsia="zh-CN"/>
        </w:rPr>
        <w:t>5%</w:t>
      </w:r>
      <w:r>
        <w:rPr>
          <w:rStyle w:val="78"/>
          <w:rFonts w:hint="eastAsia" w:asciiTheme="majorEastAsia" w:hAnsiTheme="majorEastAsia" w:eastAsiaTheme="majorEastAsia"/>
          <w:color w:val="000000"/>
          <w:sz w:val="24"/>
          <w:szCs w:val="24"/>
          <w:lang w:eastAsia="zh-CN"/>
        </w:rPr>
        <w:t>）</w:t>
      </w:r>
    </w:p>
    <w:p w14:paraId="17E8A5B2">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第十条</w:t>
      </w:r>
      <w:r>
        <w:rPr>
          <w:rFonts w:hint="eastAsia" w:asciiTheme="majorEastAsia" w:hAnsiTheme="majorEastAsia" w:eastAsiaTheme="majorEastAsia"/>
          <w:sz w:val="24"/>
          <w:szCs w:val="24"/>
          <w:lang w:eastAsia="zh-CN"/>
        </w:rPr>
        <w:t xml:space="preserve"> 双方因履行本合同而发生的争议，可协商、调解解决，也可直接采取下列第</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2</w:t>
      </w:r>
      <w:r>
        <w:rPr>
          <w:rFonts w:hint="eastAsia"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种方式解决：</w:t>
      </w:r>
    </w:p>
    <w:p w14:paraId="0A190342">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1．向</w:t>
      </w:r>
      <w:r>
        <w:rPr>
          <w:rFonts w:hint="eastAsia" w:asciiTheme="majorEastAsia" w:hAnsiTheme="majorEastAsia" w:eastAsiaTheme="majorEastAsia"/>
          <w:sz w:val="24"/>
          <w:szCs w:val="24"/>
          <w:u w:val="single"/>
          <w:lang w:eastAsia="zh-CN"/>
        </w:rPr>
        <w:t xml:space="preserve">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仲裁委员会申请仲裁；</w:t>
      </w:r>
    </w:p>
    <w:p w14:paraId="3BF4ECED">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2．向甲方所在地人民法院提起诉讼。</w:t>
      </w:r>
    </w:p>
    <w:p w14:paraId="39EDD903">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第十一条</w:t>
      </w:r>
      <w:r>
        <w:rPr>
          <w:rFonts w:hint="eastAsia" w:asciiTheme="majorEastAsia" w:hAnsiTheme="majorEastAsia" w:eastAsiaTheme="majorEastAsia"/>
          <w:sz w:val="24"/>
          <w:szCs w:val="24"/>
          <w:lang w:eastAsia="zh-CN"/>
        </w:rPr>
        <w:t xml:space="preserve"> 其他</w:t>
      </w:r>
    </w:p>
    <w:p w14:paraId="34D35F16">
      <w:pPr>
        <w:pStyle w:val="24"/>
        <w:spacing w:line="360" w:lineRule="auto"/>
        <w:ind w:firstLine="480" w:firstLineChars="200"/>
        <w:rPr>
          <w:rStyle w:val="78"/>
          <w:rFonts w:asciiTheme="majorEastAsia" w:hAnsiTheme="majorEastAsia" w:eastAsiaTheme="majorEastAsia"/>
          <w:color w:val="000000"/>
          <w:sz w:val="24"/>
          <w:szCs w:val="24"/>
          <w:lang w:eastAsia="zh-CN"/>
        </w:rPr>
      </w:pPr>
      <w:r>
        <w:rPr>
          <w:rStyle w:val="78"/>
          <w:rFonts w:hint="eastAsia" w:asciiTheme="majorEastAsia" w:hAnsiTheme="majorEastAsia" w:eastAsiaTheme="majorEastAsia"/>
          <w:color w:val="000000"/>
          <w:sz w:val="24"/>
          <w:szCs w:val="24"/>
          <w:lang w:eastAsia="zh-CN"/>
        </w:rPr>
        <w:t>1、双方重要文件往来应当以书面形式进行，由双方联系人（或双方另行书面指定的人员）当场签收或者以特快专递方式送达。如以特快专递方式送达至本合同所列地址，自特快专递寄出之日起算第5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14:paraId="235C8D3C">
      <w:pPr>
        <w:pStyle w:val="24"/>
        <w:spacing w:line="360" w:lineRule="auto"/>
        <w:ind w:firstLine="480" w:firstLineChars="200"/>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2．乙方提交的服务咨询报告及其所包含的技术成果的所有权归甲方所有，甲方在此基础上可以进行技术创新和改进并对创新和改进的结果享有知识产权。乙方不得自用或将服务咨询报告提供给第三方使用，如有违反按照泄密处理。</w:t>
      </w:r>
    </w:p>
    <w:p w14:paraId="4BE84DBC">
      <w:pPr>
        <w:pStyle w:val="24"/>
        <w:spacing w:line="360" w:lineRule="auto"/>
        <w:ind w:firstLine="482" w:firstLineChars="200"/>
        <w:rPr>
          <w:rFonts w:asciiTheme="majorEastAsia" w:hAnsiTheme="majorEastAsia" w:eastAsiaTheme="majorEastAsia"/>
          <w:sz w:val="24"/>
          <w:szCs w:val="24"/>
          <w:lang w:eastAsia="zh-CN"/>
        </w:rPr>
      </w:pPr>
      <w:r>
        <w:rPr>
          <w:rFonts w:hint="eastAsia" w:asciiTheme="majorEastAsia" w:hAnsiTheme="majorEastAsia" w:eastAsiaTheme="majorEastAsia"/>
          <w:b/>
          <w:sz w:val="24"/>
          <w:szCs w:val="24"/>
          <w:lang w:eastAsia="zh-CN"/>
        </w:rPr>
        <w:t>第十二条</w:t>
      </w:r>
      <w:r>
        <w:rPr>
          <w:rFonts w:hint="eastAsia" w:asciiTheme="majorEastAsia" w:hAnsiTheme="majorEastAsia" w:eastAsiaTheme="majorEastAsia"/>
          <w:sz w:val="24"/>
          <w:szCs w:val="24"/>
          <w:lang w:eastAsia="zh-CN"/>
        </w:rPr>
        <w:t xml:space="preserve"> 本合同经双方盖章后生效。本合同一式</w:t>
      </w:r>
      <w:r>
        <w:rPr>
          <w:rFonts w:hint="eastAsia" w:asciiTheme="majorEastAsia" w:hAnsiTheme="majorEastAsia" w:eastAsiaTheme="majorEastAsia"/>
          <w:sz w:val="24"/>
          <w:szCs w:val="24"/>
          <w:u w:val="single"/>
          <w:lang w:eastAsia="zh-CN"/>
        </w:rPr>
        <w:t xml:space="preserve">  6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份，甲方执</w:t>
      </w:r>
      <w:r>
        <w:rPr>
          <w:rFonts w:hint="eastAsia" w:asciiTheme="majorEastAsia" w:hAnsiTheme="majorEastAsia" w:eastAsiaTheme="majorEastAsia"/>
          <w:sz w:val="24"/>
          <w:szCs w:val="24"/>
          <w:u w:val="single"/>
          <w:lang w:eastAsia="zh-CN"/>
        </w:rPr>
        <w:t xml:space="preserve">  4 </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份，乙方执</w:t>
      </w:r>
      <w:r>
        <w:rPr>
          <w:rFonts w:hint="eastAsia" w:asciiTheme="majorEastAsia" w:hAnsiTheme="majorEastAsia" w:eastAsiaTheme="majorEastAsia"/>
          <w:sz w:val="24"/>
          <w:szCs w:val="24"/>
          <w:u w:val="single"/>
          <w:lang w:eastAsia="zh-CN"/>
        </w:rPr>
        <w:t xml:space="preserve"> 2</w:t>
      </w:r>
      <w:r>
        <w:rPr>
          <w:rFonts w:asciiTheme="majorEastAsia" w:hAnsiTheme="majorEastAsia" w:eastAsiaTheme="majorEastAsia"/>
          <w:sz w:val="24"/>
          <w:szCs w:val="24"/>
          <w:u w:val="single"/>
          <w:lang w:eastAsia="zh-CN"/>
        </w:rPr>
        <w:t xml:space="preserve"> </w:t>
      </w:r>
      <w:r>
        <w:rPr>
          <w:rFonts w:hint="eastAsia" w:asciiTheme="majorEastAsia" w:hAnsiTheme="majorEastAsia" w:eastAsiaTheme="majorEastAsia"/>
          <w:sz w:val="24"/>
          <w:szCs w:val="24"/>
          <w:lang w:eastAsia="zh-CN"/>
        </w:rPr>
        <w:t>份，具有同等法律效力。</w:t>
      </w:r>
    </w:p>
    <w:p w14:paraId="497DC59D">
      <w:pPr>
        <w:pStyle w:val="24"/>
        <w:spacing w:line="360" w:lineRule="auto"/>
        <w:ind w:firstLine="480" w:firstLineChars="200"/>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第十二条</w:t>
      </w:r>
      <w:r>
        <w:rPr>
          <w:rFonts w:hint="eastAsia" w:asciiTheme="majorEastAsia" w:hAnsiTheme="majorEastAsia" w:eastAsiaTheme="majorEastAsia"/>
          <w:sz w:val="24"/>
          <w:szCs w:val="24"/>
          <w:lang w:eastAsia="zh-CN"/>
        </w:rPr>
        <w:t xml:space="preserve"> 附件</w:t>
      </w:r>
    </w:p>
    <w:p w14:paraId="14069426">
      <w:pPr>
        <w:widowControl/>
        <w:spacing w:line="480" w:lineRule="auto"/>
        <w:ind w:firstLine="240" w:firstLineChars="100"/>
        <w:jc w:val="both"/>
        <w:rPr>
          <w:rFonts w:cs="Courier New" w:asciiTheme="majorEastAsia" w:hAnsiTheme="majorEastAsia" w:eastAsiaTheme="majorEastAsia"/>
          <w:sz w:val="24"/>
          <w:szCs w:val="24"/>
          <w:lang w:eastAsia="zh-CN"/>
        </w:rPr>
      </w:pPr>
      <w:r>
        <w:rPr>
          <w:rFonts w:hint="eastAsia" w:cs="Courier New" w:asciiTheme="majorEastAsia" w:hAnsiTheme="majorEastAsia" w:eastAsiaTheme="majorEastAsia"/>
          <w:sz w:val="24"/>
          <w:szCs w:val="24"/>
          <w:lang w:eastAsia="zh-CN"/>
        </w:rPr>
        <w:t>1、2</w:t>
      </w:r>
      <w:r>
        <w:rPr>
          <w:rFonts w:cs="Courier New" w:asciiTheme="majorEastAsia" w:hAnsiTheme="majorEastAsia" w:eastAsiaTheme="majorEastAsia"/>
          <w:sz w:val="24"/>
          <w:szCs w:val="24"/>
          <w:lang w:eastAsia="zh-CN"/>
        </w:rPr>
        <w:t>02</w:t>
      </w:r>
      <w:r>
        <w:rPr>
          <w:rFonts w:hint="eastAsia" w:cs="Courier New" w:asciiTheme="majorEastAsia" w:hAnsiTheme="majorEastAsia" w:eastAsiaTheme="majorEastAsia"/>
          <w:sz w:val="24"/>
          <w:szCs w:val="24"/>
          <w:lang w:eastAsia="zh-CN"/>
        </w:rPr>
        <w:t>6</w:t>
      </w:r>
      <w:r>
        <w:rPr>
          <w:rFonts w:cs="Courier New" w:asciiTheme="majorEastAsia" w:hAnsiTheme="majorEastAsia" w:eastAsiaTheme="majorEastAsia"/>
          <w:sz w:val="24"/>
          <w:szCs w:val="24"/>
          <w:lang w:eastAsia="zh-CN"/>
        </w:rPr>
        <w:t>年度</w:t>
      </w:r>
      <w:r>
        <w:rPr>
          <w:rFonts w:hint="eastAsia" w:cs="Courier New" w:asciiTheme="majorEastAsia" w:hAnsiTheme="majorEastAsia" w:eastAsiaTheme="majorEastAsia"/>
          <w:sz w:val="24"/>
          <w:szCs w:val="24"/>
          <w:lang w:eastAsia="zh-CN"/>
        </w:rPr>
        <w:t>火灾高危单位消防安全评估项目发包说明</w:t>
      </w:r>
    </w:p>
    <w:p w14:paraId="51862F54">
      <w:pPr>
        <w:widowControl/>
        <w:numPr>
          <w:ilvl w:val="0"/>
          <w:numId w:val="9"/>
        </w:numPr>
        <w:spacing w:line="480" w:lineRule="auto"/>
        <w:ind w:firstLine="240" w:firstLineChars="100"/>
        <w:jc w:val="both"/>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安全环保协议书</w:t>
      </w:r>
    </w:p>
    <w:p w14:paraId="246829AD">
      <w:pPr>
        <w:widowControl/>
        <w:numPr>
          <w:ilvl w:val="0"/>
          <w:numId w:val="9"/>
        </w:numPr>
        <w:spacing w:line="480" w:lineRule="auto"/>
        <w:ind w:firstLine="240" w:firstLineChars="100"/>
        <w:jc w:val="both"/>
        <w:rPr>
          <w:rFonts w:asciiTheme="majorEastAsia" w:hAnsiTheme="majorEastAsia" w:eastAsiaTheme="majorEastAsia"/>
          <w:sz w:val="24"/>
          <w:szCs w:val="24"/>
          <w:lang w:eastAsia="zh-CN"/>
        </w:rPr>
      </w:pPr>
      <w:r>
        <w:rPr>
          <w:rFonts w:asciiTheme="majorEastAsia" w:hAnsiTheme="majorEastAsia" w:eastAsiaTheme="majorEastAsia"/>
          <w:sz w:val="24"/>
          <w:szCs w:val="24"/>
          <w:lang w:eastAsia="zh-CN"/>
        </w:rPr>
        <w:t>保密协议</w:t>
      </w:r>
    </w:p>
    <w:p w14:paraId="386D5513">
      <w:pPr>
        <w:widowControl/>
        <w:numPr>
          <w:ilvl w:val="0"/>
          <w:numId w:val="9"/>
        </w:numPr>
        <w:spacing w:line="480" w:lineRule="auto"/>
        <w:ind w:firstLine="240" w:firstLineChars="100"/>
        <w:jc w:val="both"/>
        <w:rPr>
          <w:rFonts w:asciiTheme="majorEastAsia" w:hAnsiTheme="majorEastAsia" w:eastAsiaTheme="majorEastAsia"/>
          <w:sz w:val="24"/>
          <w:szCs w:val="24"/>
          <w:lang w:eastAsia="zh-CN"/>
        </w:rPr>
      </w:pPr>
      <w:r>
        <w:rPr>
          <w:rFonts w:hint="eastAsia" w:asciiTheme="majorEastAsia" w:hAnsiTheme="majorEastAsia" w:eastAsiaTheme="majorEastAsia"/>
          <w:sz w:val="24"/>
          <w:szCs w:val="24"/>
          <w:lang w:eastAsia="zh-CN"/>
        </w:rPr>
        <w:t>乙方营业执照、资质截图和乙方项目负责人资格证书</w:t>
      </w:r>
    </w:p>
    <w:p w14:paraId="37D75362">
      <w:pPr>
        <w:spacing w:line="360" w:lineRule="auto"/>
        <w:rPr>
          <w:rFonts w:asciiTheme="majorEastAsia" w:hAnsiTheme="majorEastAsia" w:eastAsiaTheme="majorEastAsia"/>
          <w:b/>
          <w:color w:val="000000"/>
          <w:sz w:val="24"/>
          <w:szCs w:val="24"/>
          <w:lang w:eastAsia="zh-CN"/>
        </w:rPr>
      </w:pPr>
      <w:r>
        <w:rPr>
          <w:rFonts w:hint="eastAsia" w:asciiTheme="majorEastAsia" w:hAnsiTheme="majorEastAsia" w:eastAsiaTheme="majorEastAsia"/>
          <w:b/>
          <w:color w:val="000000"/>
          <w:sz w:val="24"/>
          <w:szCs w:val="24"/>
          <w:lang w:eastAsia="zh-CN"/>
        </w:rPr>
        <w:t>（以下无正文）</w:t>
      </w:r>
    </w:p>
    <w:p w14:paraId="418385EB">
      <w:pPr>
        <w:spacing w:line="360" w:lineRule="auto"/>
        <w:ind w:right="-147" w:rightChars="-67"/>
        <w:rPr>
          <w:rFonts w:cs="Arial"/>
          <w:b/>
          <w:sz w:val="24"/>
          <w:lang w:eastAsia="zh-CN"/>
        </w:rPr>
      </w:pPr>
      <w:r>
        <w:rPr>
          <w:rFonts w:hint="eastAsia" w:cs="Arial"/>
          <w:b/>
          <w:sz w:val="24"/>
          <w:lang w:eastAsia="zh-CN"/>
        </w:rPr>
        <w:t>甲方</w:t>
      </w:r>
      <w:r>
        <w:rPr>
          <w:rFonts w:cs="Arial"/>
          <w:b/>
          <w:sz w:val="24"/>
          <w:lang w:eastAsia="zh-CN"/>
        </w:rPr>
        <w:t>：</w:t>
      </w:r>
      <w:r>
        <w:rPr>
          <w:rFonts w:hint="eastAsia" w:cs="Arial"/>
          <w:b/>
          <w:sz w:val="24"/>
          <w:lang w:eastAsia="zh-CN"/>
        </w:rPr>
        <w:t xml:space="preserve">                                    </w:t>
      </w:r>
    </w:p>
    <w:p w14:paraId="0B2073EC">
      <w:pPr>
        <w:spacing w:line="360" w:lineRule="auto"/>
        <w:ind w:right="-147" w:rightChars="-67"/>
        <w:rPr>
          <w:b/>
          <w:sz w:val="24"/>
          <w:lang w:eastAsia="zh-CN"/>
        </w:rPr>
      </w:pPr>
      <w:r>
        <w:rPr>
          <w:rFonts w:hint="eastAsia"/>
          <w:b/>
          <w:spacing w:val="20"/>
          <w:sz w:val="24"/>
          <w:lang w:eastAsia="zh-CN"/>
        </w:rPr>
        <w:t xml:space="preserve">福建福海创石油化工有限公司    </w:t>
      </w:r>
      <w:r>
        <w:rPr>
          <w:b/>
          <w:spacing w:val="20"/>
          <w:sz w:val="24"/>
          <w:lang w:eastAsia="zh-CN"/>
        </w:rPr>
        <w:t xml:space="preserve">       腾龙芳烃</w:t>
      </w:r>
      <w:r>
        <w:rPr>
          <w:rFonts w:hint="eastAsia"/>
          <w:b/>
          <w:spacing w:val="20"/>
          <w:sz w:val="24"/>
          <w:lang w:eastAsia="zh-CN"/>
        </w:rPr>
        <w:t>（漳州）有限公司</w:t>
      </w:r>
    </w:p>
    <w:p w14:paraId="6D1D56A7">
      <w:pPr>
        <w:spacing w:line="360" w:lineRule="auto"/>
        <w:ind w:right="-147" w:rightChars="-67"/>
        <w:rPr>
          <w:rFonts w:cs="Courier New" w:asciiTheme="majorEastAsia" w:hAnsiTheme="majorEastAsia" w:eastAsiaTheme="majorEastAsia"/>
          <w:lang w:eastAsia="zh-CN"/>
        </w:rPr>
      </w:pPr>
      <w:r>
        <w:rPr>
          <w:rFonts w:hint="eastAsia"/>
          <w:szCs w:val="21"/>
          <w:lang w:eastAsia="zh-CN"/>
        </w:rPr>
        <w:t>地</w:t>
      </w:r>
      <w:r>
        <w:rPr>
          <w:szCs w:val="21"/>
          <w:lang w:eastAsia="zh-CN"/>
        </w:rPr>
        <w:t xml:space="preserve">  </w:t>
      </w:r>
      <w:r>
        <w:rPr>
          <w:rFonts w:hint="eastAsia"/>
          <w:szCs w:val="21"/>
          <w:lang w:eastAsia="zh-CN"/>
        </w:rPr>
        <w:t>址：</w:t>
      </w:r>
      <w:r>
        <w:rPr>
          <w:rFonts w:hint="eastAsia" w:hAnsi="Courier New" w:cs="Courier New"/>
          <w:szCs w:val="21"/>
          <w:lang w:eastAsia="zh-CN"/>
        </w:rPr>
        <w:t>福建省漳州市古雷港经济开发区</w:t>
      </w:r>
      <w:r>
        <w:rPr>
          <w:rFonts w:hint="eastAsia"/>
          <w:szCs w:val="21"/>
          <w:lang w:eastAsia="zh-CN"/>
        </w:rPr>
        <w:t xml:space="preserve">          地</w:t>
      </w:r>
      <w:r>
        <w:rPr>
          <w:szCs w:val="21"/>
          <w:lang w:eastAsia="zh-CN"/>
        </w:rPr>
        <w:t xml:space="preserve"> </w:t>
      </w:r>
      <w:r>
        <w:rPr>
          <w:rFonts w:hint="eastAsia"/>
          <w:szCs w:val="21"/>
          <w:lang w:eastAsia="zh-CN"/>
        </w:rPr>
        <w:t xml:space="preserve"> 址：</w:t>
      </w:r>
      <w:r>
        <w:rPr>
          <w:rFonts w:hint="eastAsia" w:cs="Courier New" w:asciiTheme="majorEastAsia" w:hAnsiTheme="majorEastAsia" w:eastAsiaTheme="majorEastAsia"/>
          <w:lang w:eastAsia="zh-CN"/>
        </w:rPr>
        <w:t>福建省漳州市古雷港经济</w:t>
      </w:r>
    </w:p>
    <w:p w14:paraId="3706BDA2">
      <w:pPr>
        <w:pStyle w:val="54"/>
        <w:spacing w:line="360" w:lineRule="auto"/>
        <w:rPr>
          <w:sz w:val="22"/>
        </w:rPr>
      </w:pPr>
      <w:r>
        <w:rPr>
          <w:rFonts w:hint="eastAsia"/>
          <w:sz w:val="22"/>
        </w:rPr>
        <w:t xml:space="preserve">        </w:t>
      </w:r>
      <w:r>
        <w:rPr>
          <w:rFonts w:hint="eastAsia" w:hAnsi="Courier New" w:cs="Courier New"/>
          <w:sz w:val="21"/>
          <w:szCs w:val="21"/>
        </w:rPr>
        <w:t>腾龙路</w:t>
      </w:r>
      <w:r>
        <w:rPr>
          <w:rFonts w:hAnsi="Courier New" w:cs="Courier New"/>
          <w:sz w:val="21"/>
          <w:szCs w:val="21"/>
        </w:rPr>
        <w:t>84</w:t>
      </w:r>
      <w:r>
        <w:rPr>
          <w:rFonts w:hint="eastAsia" w:hAnsi="Courier New" w:cs="Courier New"/>
          <w:sz w:val="21"/>
          <w:szCs w:val="21"/>
        </w:rPr>
        <w:t>号</w:t>
      </w:r>
      <w:r>
        <w:rPr>
          <w:rFonts w:hint="eastAsia"/>
          <w:sz w:val="22"/>
        </w:rPr>
        <w:t xml:space="preserve">                                    </w:t>
      </w:r>
      <w:r>
        <w:rPr>
          <w:rFonts w:hint="eastAsia" w:cs="Courier New" w:asciiTheme="majorEastAsia" w:hAnsiTheme="majorEastAsia" w:eastAsiaTheme="majorEastAsia"/>
          <w:sz w:val="22"/>
        </w:rPr>
        <w:t>开发区腾龙路8</w:t>
      </w:r>
      <w:r>
        <w:rPr>
          <w:rFonts w:cs="Courier New" w:asciiTheme="majorEastAsia" w:hAnsiTheme="majorEastAsia" w:eastAsiaTheme="majorEastAsia"/>
          <w:sz w:val="22"/>
        </w:rPr>
        <w:t>4</w:t>
      </w:r>
      <w:r>
        <w:rPr>
          <w:rFonts w:hint="eastAsia" w:cs="Courier New" w:asciiTheme="majorEastAsia" w:hAnsiTheme="majorEastAsia" w:eastAsiaTheme="majorEastAsia"/>
          <w:sz w:val="22"/>
        </w:rPr>
        <w:t>号</w:t>
      </w:r>
    </w:p>
    <w:p w14:paraId="099ABFB7">
      <w:pPr>
        <w:spacing w:line="360" w:lineRule="auto"/>
        <w:ind w:left="1038" w:right="-147" w:rightChars="-67" w:hanging="1038" w:hangingChars="472"/>
        <w:rPr>
          <w:rFonts w:asciiTheme="majorEastAsia" w:hAnsiTheme="majorEastAsia" w:eastAsiaTheme="majorEastAsia"/>
          <w:lang w:eastAsia="zh-CN"/>
        </w:rPr>
      </w:pPr>
      <w:r>
        <w:rPr>
          <w:rFonts w:hint="eastAsia"/>
          <w:szCs w:val="21"/>
          <w:lang w:eastAsia="zh-CN"/>
        </w:rPr>
        <w:t>开户行：中国银行股份有限公司漳州古雷          开户行：</w:t>
      </w:r>
      <w:r>
        <w:rPr>
          <w:rFonts w:hint="eastAsia" w:asciiTheme="majorEastAsia" w:hAnsiTheme="majorEastAsia" w:eastAsiaTheme="majorEastAsia"/>
          <w:lang w:eastAsia="zh-CN"/>
        </w:rPr>
        <w:t>兴业银行漳州古雷支行</w:t>
      </w:r>
    </w:p>
    <w:p w14:paraId="5BDC938E">
      <w:pPr>
        <w:pStyle w:val="54"/>
      </w:pPr>
      <w:r>
        <w:t xml:space="preserve">      </w:t>
      </w:r>
      <w:r>
        <w:rPr>
          <w:rFonts w:hAnsi="宋体" w:cs="宋体"/>
          <w:sz w:val="22"/>
          <w:szCs w:val="21"/>
        </w:rPr>
        <w:t>经济开发区支行</w:t>
      </w:r>
    </w:p>
    <w:p w14:paraId="3C064A18">
      <w:pPr>
        <w:spacing w:line="360" w:lineRule="auto"/>
        <w:ind w:right="-147" w:rightChars="-67"/>
        <w:rPr>
          <w:szCs w:val="21"/>
          <w:lang w:eastAsia="zh-CN"/>
        </w:rPr>
      </w:pPr>
      <w:r>
        <w:rPr>
          <w:rFonts w:hint="eastAsia"/>
          <w:szCs w:val="21"/>
          <w:lang w:eastAsia="zh-CN"/>
        </w:rPr>
        <w:t>帐</w:t>
      </w:r>
      <w:r>
        <w:rPr>
          <w:szCs w:val="21"/>
          <w:lang w:eastAsia="zh-CN"/>
        </w:rPr>
        <w:t xml:space="preserve">  </w:t>
      </w:r>
      <w:r>
        <w:rPr>
          <w:rFonts w:hint="eastAsia"/>
          <w:szCs w:val="21"/>
          <w:lang w:eastAsia="zh-CN"/>
        </w:rPr>
        <w:t xml:space="preserve">号： </w:t>
      </w:r>
      <w:r>
        <w:rPr>
          <w:szCs w:val="21"/>
          <w:lang w:eastAsia="zh-CN"/>
        </w:rPr>
        <w:t>406574816628</w:t>
      </w:r>
      <w:r>
        <w:rPr>
          <w:rFonts w:hint="eastAsia"/>
          <w:szCs w:val="21"/>
          <w:lang w:eastAsia="zh-CN"/>
        </w:rPr>
        <w:t xml:space="preserve">                         帐</w:t>
      </w:r>
      <w:r>
        <w:rPr>
          <w:szCs w:val="21"/>
          <w:lang w:eastAsia="zh-CN"/>
        </w:rPr>
        <w:t xml:space="preserve">  </w:t>
      </w:r>
      <w:r>
        <w:rPr>
          <w:rFonts w:hint="eastAsia"/>
          <w:szCs w:val="21"/>
          <w:lang w:eastAsia="zh-CN"/>
        </w:rPr>
        <w:t xml:space="preserve">号： </w:t>
      </w:r>
      <w:r>
        <w:rPr>
          <w:szCs w:val="21"/>
          <w:lang w:eastAsia="zh-CN"/>
        </w:rPr>
        <w:t>1620</w:t>
      </w:r>
      <w:r>
        <w:rPr>
          <w:rFonts w:hint="eastAsia"/>
          <w:szCs w:val="21"/>
          <w:lang w:eastAsia="zh-CN"/>
        </w:rPr>
        <w:t xml:space="preserve"> </w:t>
      </w:r>
      <w:r>
        <w:rPr>
          <w:szCs w:val="21"/>
          <w:lang w:eastAsia="zh-CN"/>
        </w:rPr>
        <w:t>7010</w:t>
      </w:r>
      <w:r>
        <w:rPr>
          <w:rFonts w:hint="eastAsia"/>
          <w:szCs w:val="21"/>
          <w:lang w:eastAsia="zh-CN"/>
        </w:rPr>
        <w:t xml:space="preserve"> </w:t>
      </w:r>
      <w:r>
        <w:rPr>
          <w:szCs w:val="21"/>
          <w:lang w:eastAsia="zh-CN"/>
        </w:rPr>
        <w:t>0100</w:t>
      </w:r>
      <w:r>
        <w:rPr>
          <w:rFonts w:hint="eastAsia"/>
          <w:szCs w:val="21"/>
          <w:lang w:eastAsia="zh-CN"/>
        </w:rPr>
        <w:t xml:space="preserve"> </w:t>
      </w:r>
      <w:r>
        <w:rPr>
          <w:szCs w:val="21"/>
          <w:lang w:eastAsia="zh-CN"/>
        </w:rPr>
        <w:t>0210</w:t>
      </w:r>
      <w:r>
        <w:rPr>
          <w:rFonts w:hint="eastAsia"/>
          <w:szCs w:val="21"/>
          <w:lang w:eastAsia="zh-CN"/>
        </w:rPr>
        <w:t xml:space="preserve"> </w:t>
      </w:r>
      <w:r>
        <w:rPr>
          <w:szCs w:val="21"/>
          <w:lang w:eastAsia="zh-CN"/>
        </w:rPr>
        <w:t>71</w:t>
      </w:r>
    </w:p>
    <w:p w14:paraId="275EEAD7">
      <w:pPr>
        <w:spacing w:line="360" w:lineRule="auto"/>
        <w:ind w:right="-147" w:rightChars="-67"/>
        <w:rPr>
          <w:lang w:eastAsia="zh-CN"/>
        </w:rPr>
      </w:pPr>
      <w:r>
        <w:rPr>
          <w:rFonts w:hint="eastAsia"/>
          <w:szCs w:val="21"/>
          <w:lang w:eastAsia="zh-CN"/>
        </w:rPr>
        <w:t>税</w:t>
      </w:r>
      <w:r>
        <w:rPr>
          <w:szCs w:val="21"/>
          <w:lang w:eastAsia="zh-CN"/>
        </w:rPr>
        <w:t xml:space="preserve">  </w:t>
      </w:r>
      <w:r>
        <w:rPr>
          <w:rFonts w:hint="eastAsia"/>
          <w:szCs w:val="21"/>
          <w:lang w:eastAsia="zh-CN"/>
        </w:rPr>
        <w:t>号： 91350600MA2YNG3G0P</w:t>
      </w:r>
      <w:r>
        <w:rPr>
          <w:rFonts w:hint="eastAsia"/>
          <w:lang w:eastAsia="zh-CN"/>
        </w:rPr>
        <w:t xml:space="preserve"> </w:t>
      </w:r>
      <w:r>
        <w:rPr>
          <w:rFonts w:hint="eastAsia"/>
          <w:szCs w:val="21"/>
          <w:lang w:eastAsia="zh-CN"/>
        </w:rPr>
        <w:t xml:space="preserve">                  税</w:t>
      </w:r>
      <w:r>
        <w:rPr>
          <w:szCs w:val="21"/>
          <w:lang w:eastAsia="zh-CN"/>
        </w:rPr>
        <w:t xml:space="preserve"> </w:t>
      </w:r>
      <w:r>
        <w:rPr>
          <w:rFonts w:hint="eastAsia"/>
          <w:szCs w:val="21"/>
          <w:lang w:eastAsia="zh-CN"/>
        </w:rPr>
        <w:t xml:space="preserve"> 号： 9135 0600 7178 6670 9A</w:t>
      </w:r>
    </w:p>
    <w:p w14:paraId="094A4E74">
      <w:pPr>
        <w:spacing w:line="360" w:lineRule="auto"/>
        <w:ind w:right="-147" w:rightChars="-67"/>
        <w:rPr>
          <w:rFonts w:asciiTheme="majorEastAsia" w:hAnsiTheme="majorEastAsia" w:eastAsiaTheme="majorEastAsia"/>
          <w:lang w:eastAsia="zh-CN"/>
        </w:rPr>
      </w:pPr>
      <w:r>
        <w:rPr>
          <w:rFonts w:hint="eastAsia"/>
          <w:szCs w:val="21"/>
          <w:lang w:eastAsia="zh-CN"/>
        </w:rPr>
        <w:t>电</w:t>
      </w:r>
      <w:r>
        <w:rPr>
          <w:szCs w:val="21"/>
          <w:lang w:eastAsia="zh-CN"/>
        </w:rPr>
        <w:t xml:space="preserve">  </w:t>
      </w:r>
      <w:r>
        <w:rPr>
          <w:rFonts w:hint="eastAsia"/>
          <w:szCs w:val="21"/>
          <w:lang w:eastAsia="zh-CN"/>
        </w:rPr>
        <w:t>话： 0596-</w:t>
      </w:r>
      <w:r>
        <w:rPr>
          <w:szCs w:val="21"/>
          <w:lang w:eastAsia="zh-CN"/>
        </w:rPr>
        <w:t>3890083</w:t>
      </w:r>
      <w:r>
        <w:rPr>
          <w:rFonts w:hint="eastAsia"/>
          <w:szCs w:val="21"/>
          <w:lang w:eastAsia="zh-CN"/>
        </w:rPr>
        <w:t xml:space="preserve">                         电</w:t>
      </w:r>
      <w:r>
        <w:rPr>
          <w:szCs w:val="21"/>
          <w:lang w:eastAsia="zh-CN"/>
        </w:rPr>
        <w:t xml:space="preserve">  </w:t>
      </w:r>
      <w:r>
        <w:rPr>
          <w:rFonts w:hint="eastAsia"/>
          <w:szCs w:val="21"/>
          <w:lang w:eastAsia="zh-CN"/>
        </w:rPr>
        <w:t>话：</w:t>
      </w:r>
      <w:r>
        <w:rPr>
          <w:rFonts w:hint="eastAsia"/>
          <w:bCs/>
          <w:szCs w:val="21"/>
          <w:lang w:eastAsia="zh-CN"/>
        </w:rPr>
        <w:t xml:space="preserve"> </w:t>
      </w:r>
      <w:r>
        <w:rPr>
          <w:rFonts w:hint="eastAsia" w:asciiTheme="majorEastAsia" w:hAnsiTheme="majorEastAsia" w:eastAsiaTheme="majorEastAsia"/>
          <w:lang w:eastAsia="zh-CN"/>
        </w:rPr>
        <w:t>0592-</w:t>
      </w:r>
      <w:r>
        <w:rPr>
          <w:rFonts w:asciiTheme="majorEastAsia" w:hAnsiTheme="majorEastAsia" w:eastAsiaTheme="majorEastAsia"/>
          <w:lang w:eastAsia="zh-CN"/>
        </w:rPr>
        <w:t>6311083</w:t>
      </w:r>
    </w:p>
    <w:p w14:paraId="1C53DFE8">
      <w:pPr>
        <w:pStyle w:val="24"/>
        <w:spacing w:line="400" w:lineRule="exact"/>
        <w:rPr>
          <w:rFonts w:hAnsi="宋体"/>
          <w:lang w:eastAsia="zh-CN"/>
        </w:rPr>
      </w:pPr>
    </w:p>
    <w:p w14:paraId="36B05DBC">
      <w:pPr>
        <w:spacing w:line="400" w:lineRule="exact"/>
        <w:rPr>
          <w:b/>
          <w:color w:val="000000"/>
          <w:sz w:val="24"/>
          <w:lang w:eastAsia="zh-CN"/>
        </w:rPr>
      </w:pPr>
      <w:r>
        <w:rPr>
          <w:rFonts w:hint="eastAsia"/>
          <w:b/>
          <w:color w:val="000000"/>
          <w:sz w:val="24"/>
          <w:lang w:eastAsia="zh-CN"/>
        </w:rPr>
        <w:t>（以下无正文）</w:t>
      </w:r>
    </w:p>
    <w:p w14:paraId="7D0C2101">
      <w:pPr>
        <w:spacing w:line="360" w:lineRule="auto"/>
        <w:ind w:right="-147" w:rightChars="-67"/>
        <w:rPr>
          <w:rFonts w:cs="Arial"/>
          <w:b/>
          <w:sz w:val="24"/>
          <w:lang w:eastAsia="zh-CN"/>
        </w:rPr>
      </w:pPr>
    </w:p>
    <w:p w14:paraId="2C2B471C">
      <w:pPr>
        <w:spacing w:line="360" w:lineRule="auto"/>
        <w:rPr>
          <w:rFonts w:cs="Arial"/>
          <w:b/>
          <w:sz w:val="24"/>
          <w:lang w:eastAsia="zh-CN"/>
        </w:rPr>
      </w:pPr>
    </w:p>
    <w:p w14:paraId="5DB2D162">
      <w:pPr>
        <w:spacing w:line="360" w:lineRule="auto"/>
        <w:rPr>
          <w:rFonts w:cs="Arial"/>
          <w:b/>
          <w:sz w:val="24"/>
          <w:lang w:eastAsia="zh-CN"/>
        </w:rPr>
      </w:pPr>
      <w:r>
        <w:rPr>
          <w:rFonts w:hint="eastAsia" w:cs="Arial"/>
          <w:b/>
          <w:sz w:val="24"/>
          <w:lang w:eastAsia="zh-CN"/>
        </w:rPr>
        <w:t>乙方</w:t>
      </w:r>
      <w:r>
        <w:rPr>
          <w:rFonts w:cs="Arial"/>
          <w:b/>
          <w:sz w:val="24"/>
          <w:lang w:eastAsia="zh-CN"/>
        </w:rPr>
        <w:t>：</w:t>
      </w:r>
      <w:r>
        <w:rPr>
          <w:rFonts w:hint="eastAsia" w:cs="Arial"/>
          <w:b/>
          <w:sz w:val="24"/>
          <w:lang w:eastAsia="zh-CN"/>
        </w:rPr>
        <w:t xml:space="preserve">                                    </w:t>
      </w:r>
    </w:p>
    <w:p w14:paraId="0ED5EE85">
      <w:pPr>
        <w:spacing w:line="360" w:lineRule="auto"/>
        <w:rPr>
          <w:b/>
          <w:sz w:val="24"/>
          <w:lang w:eastAsia="zh-CN"/>
        </w:rPr>
      </w:pPr>
    </w:p>
    <w:p w14:paraId="4041B73A">
      <w:pPr>
        <w:spacing w:line="360" w:lineRule="auto"/>
        <w:rPr>
          <w:szCs w:val="21"/>
          <w:lang w:eastAsia="zh-CN"/>
        </w:rPr>
      </w:pPr>
      <w:r>
        <w:rPr>
          <w:rFonts w:hint="eastAsia"/>
          <w:szCs w:val="21"/>
          <w:lang w:eastAsia="zh-CN"/>
        </w:rPr>
        <w:t>地</w:t>
      </w:r>
      <w:r>
        <w:rPr>
          <w:szCs w:val="21"/>
          <w:lang w:eastAsia="zh-CN"/>
        </w:rPr>
        <w:t xml:space="preserve">  </w:t>
      </w:r>
      <w:r>
        <w:rPr>
          <w:rFonts w:hint="eastAsia"/>
          <w:szCs w:val="21"/>
          <w:lang w:eastAsia="zh-CN"/>
        </w:rPr>
        <w:t>址：</w:t>
      </w:r>
      <w:r>
        <w:rPr>
          <w:szCs w:val="21"/>
          <w:lang w:eastAsia="zh-CN"/>
        </w:rPr>
        <w:t xml:space="preserve"> </w:t>
      </w:r>
    </w:p>
    <w:p w14:paraId="309950CC">
      <w:pPr>
        <w:spacing w:line="360" w:lineRule="auto"/>
        <w:ind w:left="1038" w:hanging="1038" w:hangingChars="472"/>
        <w:rPr>
          <w:szCs w:val="21"/>
          <w:lang w:eastAsia="zh-CN"/>
        </w:rPr>
      </w:pPr>
      <w:r>
        <w:rPr>
          <w:rFonts w:hint="eastAsia"/>
          <w:szCs w:val="21"/>
          <w:lang w:eastAsia="zh-CN"/>
        </w:rPr>
        <w:t>开户行：</w:t>
      </w:r>
      <w:r>
        <w:rPr>
          <w:szCs w:val="21"/>
          <w:lang w:eastAsia="zh-CN"/>
        </w:rPr>
        <w:t xml:space="preserve"> </w:t>
      </w:r>
    </w:p>
    <w:p w14:paraId="62BE689C">
      <w:pPr>
        <w:spacing w:line="360" w:lineRule="auto"/>
        <w:rPr>
          <w:szCs w:val="21"/>
          <w:lang w:eastAsia="zh-CN"/>
        </w:rPr>
      </w:pPr>
      <w:r>
        <w:rPr>
          <w:rFonts w:hint="eastAsia"/>
          <w:szCs w:val="21"/>
          <w:lang w:eastAsia="zh-CN"/>
        </w:rPr>
        <w:t>帐</w:t>
      </w:r>
      <w:r>
        <w:rPr>
          <w:szCs w:val="21"/>
          <w:lang w:eastAsia="zh-CN"/>
        </w:rPr>
        <w:t xml:space="preserve">  </w:t>
      </w:r>
      <w:r>
        <w:rPr>
          <w:rFonts w:hint="eastAsia"/>
          <w:szCs w:val="21"/>
          <w:lang w:eastAsia="zh-CN"/>
        </w:rPr>
        <w:t xml:space="preserve">号： </w:t>
      </w:r>
    </w:p>
    <w:p w14:paraId="16F4AAD7">
      <w:pPr>
        <w:spacing w:line="360" w:lineRule="auto"/>
        <w:rPr>
          <w:lang w:eastAsia="zh-CN"/>
        </w:rPr>
      </w:pPr>
      <w:r>
        <w:rPr>
          <w:rFonts w:hint="eastAsia"/>
          <w:szCs w:val="21"/>
          <w:lang w:eastAsia="zh-CN"/>
        </w:rPr>
        <w:t>税</w:t>
      </w:r>
      <w:r>
        <w:rPr>
          <w:szCs w:val="21"/>
          <w:lang w:eastAsia="zh-CN"/>
        </w:rPr>
        <w:t xml:space="preserve">  </w:t>
      </w:r>
      <w:r>
        <w:rPr>
          <w:rFonts w:hint="eastAsia"/>
          <w:szCs w:val="21"/>
          <w:lang w:eastAsia="zh-CN"/>
        </w:rPr>
        <w:t xml:space="preserve">号： </w:t>
      </w:r>
    </w:p>
    <w:p w14:paraId="36C2EB40">
      <w:pPr>
        <w:spacing w:line="360" w:lineRule="auto"/>
        <w:rPr>
          <w:szCs w:val="21"/>
          <w:lang w:eastAsia="zh-CN"/>
        </w:rPr>
      </w:pPr>
      <w:r>
        <w:rPr>
          <w:rFonts w:hint="eastAsia"/>
          <w:szCs w:val="21"/>
          <w:lang w:eastAsia="zh-CN"/>
        </w:rPr>
        <w:t>电</w:t>
      </w:r>
      <w:r>
        <w:rPr>
          <w:szCs w:val="21"/>
          <w:lang w:eastAsia="zh-CN"/>
        </w:rPr>
        <w:t xml:space="preserve">  </w:t>
      </w:r>
      <w:r>
        <w:rPr>
          <w:rFonts w:hint="eastAsia"/>
          <w:szCs w:val="21"/>
          <w:lang w:eastAsia="zh-CN"/>
        </w:rPr>
        <w:t xml:space="preserve">话：  </w:t>
      </w:r>
    </w:p>
    <w:p w14:paraId="504F39DF">
      <w:pPr>
        <w:pStyle w:val="54"/>
        <w:jc w:val="center"/>
        <w:rPr>
          <w:rFonts w:hAnsi="宋体" w:cs="宋体"/>
          <w:b/>
          <w:sz w:val="28"/>
          <w:szCs w:val="28"/>
        </w:rPr>
      </w:pPr>
    </w:p>
    <w:p w14:paraId="53E9F201">
      <w:pPr>
        <w:pStyle w:val="54"/>
        <w:jc w:val="center"/>
        <w:rPr>
          <w:rFonts w:hAnsi="宋体" w:cs="宋体"/>
          <w:b/>
          <w:sz w:val="28"/>
          <w:szCs w:val="28"/>
        </w:rPr>
      </w:pPr>
    </w:p>
    <w:p w14:paraId="424650C3">
      <w:pPr>
        <w:pStyle w:val="54"/>
        <w:jc w:val="center"/>
        <w:rPr>
          <w:rFonts w:hAnsi="宋体" w:cs="宋体"/>
          <w:b/>
          <w:sz w:val="28"/>
          <w:szCs w:val="28"/>
        </w:rPr>
      </w:pPr>
    </w:p>
    <w:p w14:paraId="25571C91">
      <w:pPr>
        <w:pStyle w:val="54"/>
        <w:jc w:val="left"/>
        <w:rPr>
          <w:rFonts w:hAnsi="宋体" w:cs="宋体"/>
          <w:b/>
          <w:sz w:val="28"/>
          <w:szCs w:val="28"/>
        </w:rPr>
      </w:pPr>
      <w:bookmarkStart w:id="16" w:name="OLE_LINK5"/>
      <w:r>
        <w:rPr>
          <w:rFonts w:hAnsi="宋体" w:cs="宋体"/>
          <w:b/>
          <w:sz w:val="28"/>
          <w:szCs w:val="28"/>
        </w:rPr>
        <w:t>附件</w:t>
      </w:r>
      <w:r>
        <w:rPr>
          <w:rFonts w:hint="eastAsia" w:hAnsi="宋体" w:cs="宋体"/>
          <w:b/>
          <w:sz w:val="28"/>
          <w:szCs w:val="28"/>
        </w:rPr>
        <w:t>1：</w:t>
      </w:r>
      <w:bookmarkEnd w:id="16"/>
    </w:p>
    <w:p w14:paraId="241550B0">
      <w:pPr>
        <w:widowControl/>
        <w:spacing w:line="480" w:lineRule="auto"/>
        <w:jc w:val="center"/>
        <w:rPr>
          <w:rFonts w:ascii="Arial" w:hAnsi="Arial" w:eastAsia="黑体" w:cs="Arial"/>
          <w:sz w:val="48"/>
          <w:szCs w:val="48"/>
          <w:lang w:eastAsia="zh-CN"/>
        </w:rPr>
      </w:pPr>
      <w:r>
        <w:rPr>
          <w:rFonts w:hint="eastAsia"/>
          <w:b/>
          <w:sz w:val="30"/>
          <w:szCs w:val="30"/>
          <w:lang w:eastAsia="zh-CN"/>
        </w:rPr>
        <w:t>2</w:t>
      </w:r>
      <w:r>
        <w:rPr>
          <w:b/>
          <w:sz w:val="30"/>
          <w:szCs w:val="30"/>
          <w:lang w:eastAsia="zh-CN"/>
        </w:rPr>
        <w:t>02</w:t>
      </w:r>
      <w:r>
        <w:rPr>
          <w:rFonts w:hint="eastAsia"/>
          <w:b/>
          <w:sz w:val="30"/>
          <w:szCs w:val="30"/>
          <w:lang w:eastAsia="zh-CN"/>
        </w:rPr>
        <w:t>6</w:t>
      </w:r>
      <w:r>
        <w:rPr>
          <w:b/>
          <w:sz w:val="30"/>
          <w:szCs w:val="30"/>
          <w:lang w:eastAsia="zh-CN"/>
        </w:rPr>
        <w:t>年度</w:t>
      </w:r>
      <w:r>
        <w:rPr>
          <w:rFonts w:hint="eastAsia"/>
          <w:b/>
          <w:sz w:val="30"/>
          <w:szCs w:val="30"/>
          <w:lang w:eastAsia="zh-CN"/>
        </w:rPr>
        <w:t>火灾高危单位消防安全评估项目发包说明</w:t>
      </w:r>
      <w:bookmarkStart w:id="17" w:name="OLE_LINK8"/>
      <w:bookmarkStart w:id="18" w:name="OLE_LINK9"/>
    </w:p>
    <w:p w14:paraId="60DA2DDC">
      <w:pPr>
        <w:snapToGrid w:val="0"/>
        <w:spacing w:line="300" w:lineRule="auto"/>
        <w:contextualSpacing/>
        <w:rPr>
          <w:b/>
          <w:bCs/>
          <w:sz w:val="21"/>
          <w:szCs w:val="21"/>
          <w:lang w:eastAsia="zh-CN"/>
        </w:rPr>
      </w:pPr>
      <w:r>
        <w:rPr>
          <w:rFonts w:hint="eastAsia"/>
          <w:b/>
          <w:bCs/>
          <w:sz w:val="21"/>
          <w:szCs w:val="21"/>
          <w:lang w:eastAsia="zh-CN"/>
        </w:rPr>
        <w:t>一、项目背景</w:t>
      </w:r>
    </w:p>
    <w:p w14:paraId="67850177">
      <w:pPr>
        <w:snapToGrid w:val="0"/>
        <w:spacing w:line="300" w:lineRule="auto"/>
        <w:ind w:firstLine="420" w:firstLineChars="200"/>
        <w:contextualSpacing/>
        <w:rPr>
          <w:bCs/>
          <w:sz w:val="21"/>
          <w:szCs w:val="21"/>
          <w:lang w:eastAsia="zh-CN"/>
        </w:rPr>
      </w:pPr>
      <w:r>
        <w:rPr>
          <w:rFonts w:hint="eastAsia"/>
          <w:bCs/>
          <w:sz w:val="21"/>
          <w:szCs w:val="21"/>
          <w:lang w:eastAsia="zh-CN"/>
        </w:rPr>
        <w:t>根据《福建省火灾高危单位消防安全管理规定》闽政办﹝2013﹞139号文中第十条：火灾高危单位要委托具有资质的机构每年开展一次消防安全评估，出具评估报告。每年年底前，火灾高危单位要将评估报告报当地消防部门备案。消防安全评估内容及报告格式参照闽公消〔2018〕32号关于印发《福建省建筑消防安全评查规定》（试行）执行。</w:t>
      </w:r>
    </w:p>
    <w:p w14:paraId="6C8240D0">
      <w:pPr>
        <w:snapToGrid w:val="0"/>
        <w:spacing w:line="300" w:lineRule="auto"/>
        <w:ind w:firstLine="420" w:firstLineChars="200"/>
        <w:contextualSpacing/>
        <w:rPr>
          <w:bCs/>
          <w:sz w:val="21"/>
          <w:szCs w:val="21"/>
          <w:lang w:eastAsia="zh-CN"/>
        </w:rPr>
      </w:pPr>
      <w:r>
        <w:rPr>
          <w:rFonts w:hint="eastAsia"/>
          <w:bCs/>
          <w:sz w:val="21"/>
          <w:szCs w:val="21"/>
          <w:lang w:eastAsia="zh-CN"/>
        </w:rPr>
        <w:t>福建福海创石油化工有限公司及腾龙芳烃（漳州）有限公司属于火灾高危单位。需委托第三方有消防评估资质的消防安全评估机构进行评估。分别出具评查报告，并在福建消防技术服务信息平台备案。</w:t>
      </w:r>
    </w:p>
    <w:p w14:paraId="5729C0E9">
      <w:pPr>
        <w:snapToGrid w:val="0"/>
        <w:spacing w:line="300" w:lineRule="auto"/>
        <w:contextualSpacing/>
        <w:rPr>
          <w:b/>
          <w:bCs/>
          <w:sz w:val="21"/>
          <w:szCs w:val="21"/>
          <w:lang w:eastAsia="zh-CN"/>
        </w:rPr>
      </w:pPr>
      <w:r>
        <w:rPr>
          <w:rFonts w:hint="eastAsia"/>
          <w:b/>
          <w:bCs/>
          <w:sz w:val="21"/>
          <w:szCs w:val="21"/>
          <w:lang w:eastAsia="zh-CN"/>
        </w:rPr>
        <w:t>二、项目内容</w:t>
      </w:r>
    </w:p>
    <w:p w14:paraId="65FDA81E">
      <w:pPr>
        <w:snapToGrid w:val="0"/>
        <w:spacing w:line="300" w:lineRule="auto"/>
        <w:ind w:firstLine="420" w:firstLineChars="200"/>
        <w:contextualSpacing/>
        <w:rPr>
          <w:bCs/>
          <w:sz w:val="21"/>
          <w:szCs w:val="21"/>
          <w:lang w:eastAsia="zh-CN"/>
        </w:rPr>
      </w:pPr>
      <w:r>
        <w:rPr>
          <w:rFonts w:hint="eastAsia"/>
          <w:bCs/>
          <w:sz w:val="21"/>
          <w:szCs w:val="21"/>
          <w:lang w:eastAsia="zh-CN"/>
        </w:rPr>
        <w:t>（一）项目名称：2026年度火灾高危单位消防安全评估项目；</w:t>
      </w:r>
    </w:p>
    <w:p w14:paraId="32287706">
      <w:pPr>
        <w:snapToGrid w:val="0"/>
        <w:spacing w:line="300" w:lineRule="auto"/>
        <w:ind w:firstLine="420" w:firstLineChars="200"/>
        <w:contextualSpacing/>
        <w:rPr>
          <w:bCs/>
          <w:sz w:val="21"/>
          <w:szCs w:val="21"/>
          <w:lang w:eastAsia="zh-CN"/>
        </w:rPr>
      </w:pPr>
      <w:r>
        <w:rPr>
          <w:rFonts w:hint="eastAsia"/>
          <w:bCs/>
          <w:sz w:val="21"/>
          <w:szCs w:val="21"/>
          <w:lang w:eastAsia="zh-CN"/>
        </w:rPr>
        <w:t>（二）项目期限：本项目期限为合同签订日起30天；</w:t>
      </w:r>
    </w:p>
    <w:p w14:paraId="2C439DF4">
      <w:pPr>
        <w:pStyle w:val="73"/>
        <w:spacing w:line="300" w:lineRule="auto"/>
        <w:ind w:firstLine="420" w:firstLineChars="200"/>
        <w:rPr>
          <w:rFonts w:hAnsi="宋体"/>
          <w:sz w:val="21"/>
          <w:szCs w:val="21"/>
        </w:rPr>
      </w:pPr>
      <w:r>
        <w:rPr>
          <w:rFonts w:hint="eastAsia" w:hAnsi="宋体"/>
          <w:bCs/>
          <w:sz w:val="21"/>
          <w:szCs w:val="21"/>
        </w:rPr>
        <w:t>（三）</w:t>
      </w:r>
      <w:r>
        <w:rPr>
          <w:rFonts w:hint="eastAsia" w:hAnsi="宋体"/>
          <w:bCs/>
          <w:color w:val="auto"/>
          <w:sz w:val="21"/>
          <w:szCs w:val="21"/>
        </w:rPr>
        <w:t>项目内容：</w:t>
      </w:r>
      <w:r>
        <w:rPr>
          <w:rFonts w:hint="eastAsia" w:hAnsi="宋体"/>
          <w:color w:val="auto"/>
          <w:kern w:val="2"/>
          <w:sz w:val="21"/>
          <w:szCs w:val="21"/>
        </w:rPr>
        <w:t>按照</w:t>
      </w:r>
      <w:r>
        <w:rPr>
          <w:rFonts w:hint="eastAsia" w:hAnsi="宋体"/>
          <w:color w:val="auto"/>
          <w:sz w:val="21"/>
          <w:szCs w:val="21"/>
        </w:rPr>
        <w:t>《社会消防技术服务管理规定》及</w:t>
      </w:r>
      <w:r>
        <w:rPr>
          <w:rFonts w:hint="eastAsia" w:hAnsi="宋体"/>
          <w:color w:val="auto"/>
          <w:kern w:val="2"/>
          <w:sz w:val="21"/>
          <w:szCs w:val="21"/>
        </w:rPr>
        <w:t>福建消防技术服务</w:t>
      </w:r>
      <w:r>
        <w:rPr>
          <w:rFonts w:hint="eastAsia" w:hAnsi="宋体"/>
          <w:sz w:val="21"/>
          <w:szCs w:val="21"/>
        </w:rPr>
        <w:t>信息平台相关要求开展消防安全评估技术服务。本次询比包含福建福海创石油化工有限公司、腾龙芳烃（漳州）有限公司，各公司涵盖装置如下：</w:t>
      </w:r>
    </w:p>
    <w:p w14:paraId="261D4922">
      <w:pPr>
        <w:pStyle w:val="73"/>
        <w:spacing w:line="300" w:lineRule="auto"/>
        <w:ind w:firstLine="420" w:firstLineChars="200"/>
        <w:rPr>
          <w:rFonts w:hAnsi="宋体"/>
          <w:sz w:val="21"/>
          <w:szCs w:val="21"/>
        </w:rPr>
      </w:pPr>
      <w:r>
        <w:rPr>
          <w:rFonts w:hint="eastAsia" w:hAnsi="宋体"/>
          <w:sz w:val="21"/>
          <w:szCs w:val="21"/>
        </w:rPr>
        <w:t>1．福建福海创石油化工有限公司，主要包括：减压装置、沸腾床加氢装置、加氢裂化装置、预加氢装置、重整装置、工业己烷装置、抽提装置、歧化装置、PX装置、OX装置、PTA装置、储运罐区、PSA装置（含制氢装置）、公用工程（水处理、海水泵房、污水处理、消防水泵站3座、空分空压等）、综合楼（食堂）、PTA中控室、PX新中控楼、PX老中控楼、化验楼（PX及PTA）、总降站，以及各装置辖区内的配电间、仓库（备品备件仓库、维修车间、化学品库、成品库、危废库等）、办公用房、辅助用房等；</w:t>
      </w:r>
    </w:p>
    <w:p w14:paraId="7415F7E6">
      <w:pPr>
        <w:pStyle w:val="73"/>
        <w:spacing w:line="300" w:lineRule="auto"/>
        <w:ind w:firstLine="420" w:firstLineChars="200"/>
        <w:rPr>
          <w:rFonts w:hAnsi="宋体"/>
          <w:sz w:val="21"/>
          <w:szCs w:val="21"/>
        </w:rPr>
      </w:pPr>
      <w:r>
        <w:rPr>
          <w:rFonts w:hint="eastAsia" w:hAnsi="宋体"/>
          <w:sz w:val="21"/>
          <w:szCs w:val="21"/>
        </w:rPr>
        <w:t>2．腾龙芳烃（漳州）有限公司，主要包括：凝析油加氢装置、凝析油分离装置、火炬系统、AGO吸附分离装置、重芳烃轻质化装置、干气分离装置、2*4万吨/年硫磺回收装置、酸性水汽提装置、溶剂再生装置、2*6万吨/年2#硫磺回收装置，以及各装置辖区内的配电间、仓库、办公用房、辅助用房等；</w:t>
      </w:r>
    </w:p>
    <w:p w14:paraId="144BD6F7">
      <w:pPr>
        <w:pStyle w:val="73"/>
        <w:spacing w:line="300" w:lineRule="auto"/>
        <w:ind w:firstLine="420" w:firstLineChars="200"/>
        <w:rPr>
          <w:rFonts w:hAnsi="宋体"/>
          <w:sz w:val="21"/>
          <w:szCs w:val="21"/>
        </w:rPr>
      </w:pPr>
      <w:r>
        <w:rPr>
          <w:rFonts w:hint="eastAsia" w:hAnsi="宋体"/>
          <w:sz w:val="21"/>
          <w:szCs w:val="21"/>
        </w:rPr>
        <w:t>3. 上述公司区域装置为现状情形，如本项目执行中出现变化，各公司评估内容按照变化后的执行。</w:t>
      </w:r>
    </w:p>
    <w:p w14:paraId="658172A1">
      <w:pPr>
        <w:snapToGrid w:val="0"/>
        <w:spacing w:line="300" w:lineRule="auto"/>
        <w:contextualSpacing/>
        <w:rPr>
          <w:b/>
          <w:bCs/>
          <w:sz w:val="21"/>
          <w:szCs w:val="21"/>
          <w:lang w:eastAsia="zh-CN"/>
        </w:rPr>
      </w:pPr>
      <w:r>
        <w:rPr>
          <w:rFonts w:hint="eastAsia"/>
          <w:b/>
          <w:bCs/>
          <w:sz w:val="21"/>
          <w:szCs w:val="21"/>
          <w:lang w:eastAsia="zh-CN"/>
        </w:rPr>
        <w:t>三、资质及业绩</w:t>
      </w:r>
    </w:p>
    <w:p w14:paraId="61E258E7">
      <w:pPr>
        <w:pStyle w:val="73"/>
        <w:spacing w:line="300" w:lineRule="auto"/>
        <w:ind w:firstLine="420" w:firstLineChars="200"/>
        <w:rPr>
          <w:rFonts w:hAnsi="宋体"/>
          <w:sz w:val="21"/>
          <w:szCs w:val="21"/>
        </w:rPr>
      </w:pPr>
      <w:r>
        <w:rPr>
          <w:rFonts w:hint="eastAsia" w:hAnsi="宋体"/>
          <w:sz w:val="21"/>
          <w:szCs w:val="21"/>
        </w:rPr>
        <w:t>（一）参比人具有营业执照、税务登记证、组织机构代码证，或按照“三证合一”登记制度登记，执照有效；营业执照经营范围必须包含消防安全评估，所有材料复印件需加盖公章；</w:t>
      </w:r>
    </w:p>
    <w:p w14:paraId="250AFE7C">
      <w:pPr>
        <w:pStyle w:val="73"/>
        <w:spacing w:line="300" w:lineRule="auto"/>
        <w:ind w:firstLine="420" w:firstLineChars="200"/>
        <w:rPr>
          <w:rFonts w:hAnsi="宋体"/>
          <w:sz w:val="21"/>
          <w:szCs w:val="21"/>
        </w:rPr>
      </w:pPr>
      <w:r>
        <w:rPr>
          <w:rFonts w:hint="eastAsia" w:hAnsi="宋体"/>
          <w:sz w:val="21"/>
          <w:szCs w:val="21"/>
        </w:rPr>
        <w:t>（二）参比人在福建消防的“福建消防技术服务信息平台”消防安全评估机构评定为“三星及以上”的服务机构；</w:t>
      </w:r>
    </w:p>
    <w:p w14:paraId="0E97BCF9">
      <w:pPr>
        <w:pStyle w:val="73"/>
        <w:spacing w:line="300" w:lineRule="auto"/>
        <w:ind w:firstLine="420" w:firstLineChars="200"/>
        <w:rPr>
          <w:rFonts w:hAnsi="宋体"/>
          <w:sz w:val="21"/>
          <w:szCs w:val="21"/>
        </w:rPr>
      </w:pPr>
      <w:r>
        <w:rPr>
          <w:rFonts w:hint="eastAsia" w:hAnsi="宋体"/>
          <w:sz w:val="21"/>
          <w:szCs w:val="21"/>
        </w:rPr>
        <w:t>（三） 参比人项目技术负责人具有一级注册消防工程师资格，且具有机电、电气自动化、给排水、暖通等专业任意一项的中级及以上职称，并提供相应人员证书及至少一年的本单位社保证明；</w:t>
      </w:r>
    </w:p>
    <w:p w14:paraId="5782CB11">
      <w:pPr>
        <w:pStyle w:val="73"/>
        <w:spacing w:line="300" w:lineRule="auto"/>
        <w:ind w:firstLine="420" w:firstLineChars="200"/>
        <w:rPr>
          <w:rFonts w:hAnsi="宋体"/>
          <w:sz w:val="21"/>
          <w:szCs w:val="21"/>
        </w:rPr>
      </w:pPr>
      <w:r>
        <w:rPr>
          <w:rFonts w:hint="eastAsia" w:hAnsi="宋体"/>
          <w:sz w:val="21"/>
          <w:szCs w:val="21"/>
        </w:rPr>
        <w:t>（四）参比人根据评估内容及工作量配备现场评估人员，现场人员数量不少于四人，且持有一级注册消防工程师资格证，并提供相应证书及本单位社保证明；</w:t>
      </w:r>
    </w:p>
    <w:p w14:paraId="5068A260">
      <w:pPr>
        <w:pStyle w:val="73"/>
        <w:spacing w:line="300" w:lineRule="auto"/>
        <w:ind w:firstLine="420" w:firstLineChars="200"/>
        <w:rPr>
          <w:rFonts w:hAnsi="宋体"/>
          <w:sz w:val="21"/>
          <w:szCs w:val="21"/>
        </w:rPr>
      </w:pPr>
      <w:r>
        <w:rPr>
          <w:rFonts w:hint="eastAsia" w:hAnsi="宋体"/>
          <w:sz w:val="21"/>
          <w:szCs w:val="21"/>
        </w:rPr>
        <w:t>（五）参比人提供近三年的消防安全评估业绩，至少有一家石油化工行业项目的消防安全评估业绩，需提供业绩合同复印件加盖公章。</w:t>
      </w:r>
    </w:p>
    <w:p w14:paraId="3C906646">
      <w:pPr>
        <w:snapToGrid w:val="0"/>
        <w:spacing w:line="300" w:lineRule="auto"/>
        <w:contextualSpacing/>
        <w:rPr>
          <w:b/>
          <w:sz w:val="21"/>
          <w:szCs w:val="21"/>
          <w:lang w:eastAsia="zh-CN"/>
        </w:rPr>
      </w:pPr>
      <w:r>
        <w:rPr>
          <w:rFonts w:hint="eastAsia"/>
          <w:b/>
          <w:bCs/>
          <w:sz w:val="21"/>
          <w:szCs w:val="21"/>
          <w:lang w:eastAsia="zh-CN"/>
        </w:rPr>
        <w:t>四、询比要求</w:t>
      </w:r>
    </w:p>
    <w:p w14:paraId="3340E1E8">
      <w:pPr>
        <w:snapToGrid w:val="0"/>
        <w:spacing w:line="300" w:lineRule="auto"/>
        <w:ind w:firstLine="420" w:firstLineChars="200"/>
        <w:contextualSpacing/>
        <w:rPr>
          <w:sz w:val="21"/>
          <w:szCs w:val="21"/>
          <w:lang w:eastAsia="zh-CN"/>
        </w:rPr>
      </w:pPr>
      <w:r>
        <w:rPr>
          <w:rFonts w:hint="eastAsia"/>
          <w:sz w:val="21"/>
          <w:szCs w:val="21"/>
          <w:lang w:eastAsia="zh-CN"/>
        </w:rPr>
        <w:t>（一）参比人按照法律法规、技术规范开展消防评估工作，包括不限于以下：</w:t>
      </w:r>
    </w:p>
    <w:p w14:paraId="1BA241B4">
      <w:pPr>
        <w:snapToGrid w:val="0"/>
        <w:spacing w:line="300" w:lineRule="auto"/>
        <w:ind w:firstLine="420" w:firstLineChars="200"/>
        <w:contextualSpacing/>
        <w:rPr>
          <w:sz w:val="21"/>
          <w:szCs w:val="21"/>
          <w:lang w:eastAsia="zh-CN"/>
        </w:rPr>
      </w:pPr>
      <w:r>
        <w:rPr>
          <w:rFonts w:hint="eastAsia"/>
          <w:sz w:val="21"/>
          <w:szCs w:val="21"/>
          <w:lang w:eastAsia="zh-CN"/>
        </w:rPr>
        <w:t xml:space="preserve">1．《中华人民共和国消防法》（国家主席令〔2021〕第81号修正）   </w:t>
      </w:r>
    </w:p>
    <w:p w14:paraId="2099D87D">
      <w:pPr>
        <w:snapToGrid w:val="0"/>
        <w:spacing w:line="300" w:lineRule="auto"/>
        <w:ind w:firstLine="420" w:firstLineChars="200"/>
        <w:contextualSpacing/>
        <w:rPr>
          <w:sz w:val="21"/>
          <w:szCs w:val="21"/>
          <w:lang w:eastAsia="zh-CN"/>
        </w:rPr>
      </w:pPr>
      <w:r>
        <w:rPr>
          <w:rFonts w:hint="eastAsia"/>
          <w:sz w:val="21"/>
          <w:szCs w:val="21"/>
          <w:lang w:eastAsia="zh-CN"/>
        </w:rPr>
        <w:t>2．《消防安全责任制实施办法》国办发〔2017〕87号</w:t>
      </w:r>
    </w:p>
    <w:p w14:paraId="7A18F535">
      <w:pPr>
        <w:snapToGrid w:val="0"/>
        <w:spacing w:line="300" w:lineRule="auto"/>
        <w:ind w:firstLine="420" w:firstLineChars="200"/>
        <w:contextualSpacing/>
        <w:rPr>
          <w:sz w:val="21"/>
          <w:szCs w:val="21"/>
          <w:lang w:eastAsia="zh-CN"/>
        </w:rPr>
      </w:pPr>
      <w:r>
        <w:rPr>
          <w:rFonts w:hint="eastAsia"/>
          <w:sz w:val="21"/>
          <w:szCs w:val="21"/>
          <w:lang w:eastAsia="zh-CN"/>
        </w:rPr>
        <w:t>3．《机关、团体、企业、事业单位消防安全管理规定（61号令）》</w:t>
      </w:r>
    </w:p>
    <w:p w14:paraId="06A750DC">
      <w:pPr>
        <w:snapToGrid w:val="0"/>
        <w:spacing w:line="300" w:lineRule="auto"/>
        <w:ind w:firstLine="420" w:firstLineChars="200"/>
        <w:contextualSpacing/>
        <w:rPr>
          <w:sz w:val="21"/>
          <w:szCs w:val="21"/>
          <w:lang w:eastAsia="zh-CN"/>
        </w:rPr>
      </w:pPr>
      <w:r>
        <w:rPr>
          <w:rFonts w:hint="eastAsia"/>
          <w:sz w:val="21"/>
          <w:szCs w:val="21"/>
          <w:lang w:eastAsia="zh-CN"/>
        </w:rPr>
        <w:t>4．《火灾高危单位消防安全评估导则（试行）》公消〔2013〕60号</w:t>
      </w:r>
    </w:p>
    <w:p w14:paraId="5B1D0416">
      <w:pPr>
        <w:snapToGrid w:val="0"/>
        <w:spacing w:line="300" w:lineRule="auto"/>
        <w:ind w:firstLine="420" w:firstLineChars="200"/>
        <w:contextualSpacing/>
        <w:rPr>
          <w:sz w:val="21"/>
          <w:szCs w:val="21"/>
          <w:lang w:eastAsia="zh-CN"/>
        </w:rPr>
      </w:pPr>
      <w:r>
        <w:rPr>
          <w:rFonts w:hint="eastAsia"/>
          <w:sz w:val="21"/>
          <w:szCs w:val="21"/>
          <w:lang w:eastAsia="zh-CN"/>
        </w:rPr>
        <w:t>5．《单位消防安全评估》XF/T3005-2020</w:t>
      </w:r>
    </w:p>
    <w:p w14:paraId="61EEC7AD">
      <w:pPr>
        <w:snapToGrid w:val="0"/>
        <w:spacing w:line="300" w:lineRule="auto"/>
        <w:ind w:firstLine="420" w:firstLineChars="200"/>
        <w:contextualSpacing/>
        <w:rPr>
          <w:sz w:val="21"/>
          <w:szCs w:val="21"/>
          <w:lang w:eastAsia="zh-CN"/>
        </w:rPr>
      </w:pPr>
      <w:r>
        <w:rPr>
          <w:rFonts w:hint="eastAsia"/>
          <w:sz w:val="21"/>
          <w:szCs w:val="21"/>
          <w:lang w:eastAsia="zh-CN"/>
        </w:rPr>
        <w:t>6．《建筑消防设施检测技术规范》（GB/T44481-2024）</w:t>
      </w:r>
    </w:p>
    <w:p w14:paraId="2F51C39B">
      <w:pPr>
        <w:snapToGrid w:val="0"/>
        <w:spacing w:line="300" w:lineRule="auto"/>
        <w:ind w:firstLine="420" w:firstLineChars="200"/>
        <w:contextualSpacing/>
        <w:rPr>
          <w:sz w:val="21"/>
          <w:szCs w:val="21"/>
          <w:lang w:eastAsia="zh-CN"/>
        </w:rPr>
      </w:pPr>
      <w:r>
        <w:rPr>
          <w:rFonts w:hint="eastAsia"/>
          <w:sz w:val="21"/>
          <w:szCs w:val="21"/>
          <w:lang w:eastAsia="zh-CN"/>
        </w:rPr>
        <w:t>7．《福建省火灾高危单位消防安全管理规定》</w:t>
      </w:r>
      <w:r>
        <w:rPr>
          <w:rFonts w:hint="eastAsia"/>
          <w:bCs/>
          <w:sz w:val="21"/>
          <w:szCs w:val="21"/>
          <w:lang w:eastAsia="zh-CN"/>
        </w:rPr>
        <w:t>闽政办﹝2013﹞139号</w:t>
      </w:r>
    </w:p>
    <w:p w14:paraId="2FE6ADC0">
      <w:pPr>
        <w:snapToGrid w:val="0"/>
        <w:spacing w:line="300" w:lineRule="auto"/>
        <w:ind w:firstLine="420" w:firstLineChars="200"/>
        <w:contextualSpacing/>
        <w:rPr>
          <w:sz w:val="21"/>
          <w:szCs w:val="21"/>
          <w:lang w:eastAsia="zh-CN"/>
        </w:rPr>
      </w:pPr>
      <w:r>
        <w:rPr>
          <w:rFonts w:hint="eastAsia"/>
          <w:sz w:val="21"/>
          <w:szCs w:val="21"/>
          <w:lang w:eastAsia="zh-CN"/>
        </w:rPr>
        <w:t>8．《福建省建筑消防安全评查规定》（试行）闽公消〔2018〕32号</w:t>
      </w:r>
    </w:p>
    <w:p w14:paraId="6A7ABB1A">
      <w:pPr>
        <w:pStyle w:val="73"/>
        <w:spacing w:line="300" w:lineRule="auto"/>
        <w:ind w:firstLine="420" w:firstLineChars="200"/>
        <w:contextualSpacing/>
        <w:rPr>
          <w:rFonts w:hAnsi="宋体"/>
          <w:color w:val="auto"/>
          <w:kern w:val="2"/>
          <w:sz w:val="21"/>
          <w:szCs w:val="21"/>
        </w:rPr>
      </w:pPr>
      <w:r>
        <w:rPr>
          <w:rFonts w:hint="eastAsia" w:hAnsi="宋体"/>
          <w:sz w:val="21"/>
          <w:szCs w:val="21"/>
        </w:rPr>
        <w:t>（二）</w:t>
      </w:r>
      <w:r>
        <w:rPr>
          <w:rFonts w:hint="eastAsia" w:hAnsi="宋体"/>
          <w:color w:val="auto"/>
          <w:kern w:val="2"/>
          <w:sz w:val="21"/>
          <w:szCs w:val="21"/>
        </w:rPr>
        <w:t>参比人评估过程配备的专业消防设施检查测试仪器和计量工具等，应符合国家计量要求，并提供仪器和计量工具的清单和认证或检定合格证书；</w:t>
      </w:r>
    </w:p>
    <w:p w14:paraId="2B6C34B2">
      <w:pPr>
        <w:pStyle w:val="73"/>
        <w:spacing w:line="300" w:lineRule="auto"/>
        <w:ind w:firstLine="420" w:firstLineChars="200"/>
        <w:contextualSpacing/>
        <w:rPr>
          <w:rFonts w:hAnsi="宋体"/>
          <w:color w:val="auto"/>
          <w:kern w:val="2"/>
          <w:sz w:val="21"/>
          <w:szCs w:val="21"/>
        </w:rPr>
      </w:pPr>
      <w:r>
        <w:rPr>
          <w:rFonts w:hint="eastAsia" w:hAnsi="宋体"/>
          <w:sz w:val="21"/>
          <w:szCs w:val="21"/>
        </w:rPr>
        <w:t>（三）</w:t>
      </w:r>
      <w:r>
        <w:rPr>
          <w:rFonts w:hint="eastAsia" w:hAnsi="宋体"/>
          <w:color w:val="auto"/>
          <w:kern w:val="2"/>
          <w:sz w:val="21"/>
          <w:szCs w:val="21"/>
        </w:rPr>
        <w:t>参比人在实施评估服务前，应编制评估方案及评估计划，提交询比方审核备案，询比方核准后方可实施；</w:t>
      </w:r>
    </w:p>
    <w:p w14:paraId="0CABD9C8">
      <w:pPr>
        <w:pStyle w:val="73"/>
        <w:spacing w:line="300" w:lineRule="auto"/>
        <w:ind w:firstLine="420" w:firstLineChars="200"/>
        <w:contextualSpacing/>
        <w:rPr>
          <w:rFonts w:hAnsi="宋体"/>
          <w:color w:val="auto"/>
          <w:kern w:val="2"/>
          <w:sz w:val="21"/>
          <w:szCs w:val="21"/>
        </w:rPr>
      </w:pPr>
      <w:r>
        <w:rPr>
          <w:rFonts w:hint="eastAsia" w:hAnsi="宋体"/>
          <w:sz w:val="21"/>
          <w:szCs w:val="21"/>
        </w:rPr>
        <w:t>（四）</w:t>
      </w:r>
      <w:r>
        <w:rPr>
          <w:rFonts w:hint="eastAsia" w:hAnsi="宋体"/>
          <w:color w:val="auto"/>
          <w:kern w:val="2"/>
          <w:sz w:val="21"/>
          <w:szCs w:val="21"/>
        </w:rPr>
        <w:t>参比人须如实记录评估结果，并对评估过程中发现的问题及时反馈给询比方，以便及时整改；</w:t>
      </w:r>
    </w:p>
    <w:p w14:paraId="1E3D4AF6">
      <w:pPr>
        <w:pStyle w:val="73"/>
        <w:spacing w:line="300" w:lineRule="auto"/>
        <w:ind w:firstLine="420" w:firstLineChars="200"/>
        <w:contextualSpacing/>
        <w:rPr>
          <w:rFonts w:hAnsi="宋体"/>
          <w:color w:val="auto"/>
          <w:kern w:val="2"/>
          <w:sz w:val="21"/>
          <w:szCs w:val="21"/>
        </w:rPr>
      </w:pPr>
      <w:r>
        <w:rPr>
          <w:rFonts w:hint="eastAsia" w:hAnsi="宋体"/>
          <w:sz w:val="21"/>
          <w:szCs w:val="21"/>
        </w:rPr>
        <w:t>（五）</w:t>
      </w:r>
      <w:r>
        <w:rPr>
          <w:rFonts w:hint="eastAsia" w:hAnsi="宋体"/>
          <w:color w:val="auto"/>
          <w:kern w:val="2"/>
          <w:sz w:val="21"/>
          <w:szCs w:val="21"/>
        </w:rPr>
        <w:t>参比人按照资料审查、现场检查（对企业内事故监控与报警设施、消防器材、消防道路、消防供水、消防供电、消防控制室、水泵房、配电室等内容进行现场检查，随机对消防设施进行现场测试）、消防安全管理检查、对照判定的程序方式进行安全评估，并提出科学、合理、具有可操作性的消防安全建议；</w:t>
      </w:r>
    </w:p>
    <w:p w14:paraId="289027AA">
      <w:pPr>
        <w:pStyle w:val="73"/>
        <w:spacing w:line="300" w:lineRule="auto"/>
        <w:ind w:firstLine="420" w:firstLineChars="200"/>
        <w:contextualSpacing/>
        <w:rPr>
          <w:rFonts w:hAnsi="宋体"/>
          <w:color w:val="auto"/>
          <w:kern w:val="2"/>
          <w:sz w:val="21"/>
          <w:szCs w:val="21"/>
        </w:rPr>
      </w:pPr>
      <w:r>
        <w:rPr>
          <w:rFonts w:hint="eastAsia" w:hAnsi="宋体"/>
          <w:sz w:val="21"/>
          <w:szCs w:val="21"/>
        </w:rPr>
        <w:t>（六）</w:t>
      </w:r>
      <w:r>
        <w:rPr>
          <w:rFonts w:hint="eastAsia" w:hAnsi="宋体"/>
          <w:color w:val="auto"/>
          <w:kern w:val="2"/>
          <w:sz w:val="21"/>
          <w:szCs w:val="21"/>
        </w:rPr>
        <w:t>评估工作结束时，应提交评查报告、消防安全改进技术建议书；</w:t>
      </w:r>
    </w:p>
    <w:p w14:paraId="66776DF2">
      <w:pPr>
        <w:pStyle w:val="73"/>
        <w:spacing w:line="300" w:lineRule="auto"/>
        <w:ind w:firstLine="420" w:firstLineChars="200"/>
        <w:contextualSpacing/>
        <w:rPr>
          <w:rFonts w:hAnsi="宋体"/>
          <w:color w:val="auto"/>
          <w:kern w:val="2"/>
          <w:sz w:val="21"/>
          <w:szCs w:val="21"/>
        </w:rPr>
      </w:pPr>
      <w:r>
        <w:rPr>
          <w:rFonts w:hint="eastAsia" w:hAnsi="宋体"/>
          <w:sz w:val="21"/>
          <w:szCs w:val="21"/>
        </w:rPr>
        <w:t>（七）</w:t>
      </w:r>
      <w:r>
        <w:rPr>
          <w:rFonts w:hint="eastAsia" w:hAnsi="宋体"/>
          <w:color w:val="auto"/>
          <w:kern w:val="2"/>
          <w:sz w:val="21"/>
          <w:szCs w:val="21"/>
        </w:rPr>
        <w:t>参比人应严格遵循有关法律和规定（包括技术规定和技术标准），完成约定的消防安全评估工作，并确保项目消防安全评查报告经过询比方审核合格后，上传福建消防技术服务信息平台备案；</w:t>
      </w:r>
    </w:p>
    <w:p w14:paraId="6DA6D0F3">
      <w:pPr>
        <w:pStyle w:val="73"/>
        <w:spacing w:line="300" w:lineRule="auto"/>
        <w:ind w:firstLine="420" w:firstLineChars="200"/>
        <w:contextualSpacing/>
        <w:rPr>
          <w:rFonts w:hAnsi="宋体"/>
          <w:color w:val="auto"/>
          <w:kern w:val="2"/>
          <w:sz w:val="21"/>
          <w:szCs w:val="21"/>
        </w:rPr>
      </w:pPr>
      <w:r>
        <w:rPr>
          <w:rFonts w:hint="eastAsia" w:hAnsi="宋体"/>
          <w:sz w:val="21"/>
          <w:szCs w:val="21"/>
        </w:rPr>
        <w:t>（八）</w:t>
      </w:r>
      <w:r>
        <w:rPr>
          <w:rFonts w:hint="eastAsia" w:hAnsi="宋体"/>
          <w:color w:val="auto"/>
          <w:kern w:val="2"/>
          <w:sz w:val="21"/>
          <w:szCs w:val="21"/>
        </w:rPr>
        <w:t>参比人应采用先进技术和手段开展本项目的消防安全评估工作，确保评估成果的完整性和准确性并对成果负全部责任；</w:t>
      </w:r>
    </w:p>
    <w:p w14:paraId="600891A8">
      <w:pPr>
        <w:pStyle w:val="73"/>
        <w:spacing w:line="300" w:lineRule="auto"/>
        <w:ind w:firstLine="420" w:firstLineChars="200"/>
        <w:contextualSpacing/>
        <w:rPr>
          <w:rFonts w:hAnsi="宋体"/>
          <w:color w:val="auto"/>
          <w:kern w:val="2"/>
          <w:sz w:val="21"/>
          <w:szCs w:val="21"/>
        </w:rPr>
      </w:pPr>
      <w:r>
        <w:rPr>
          <w:rFonts w:hint="eastAsia" w:hAnsi="宋体"/>
          <w:sz w:val="21"/>
          <w:szCs w:val="21"/>
        </w:rPr>
        <w:t>（九）</w:t>
      </w:r>
      <w:r>
        <w:rPr>
          <w:rFonts w:hint="eastAsia" w:hAnsi="宋体"/>
          <w:color w:val="auto"/>
          <w:kern w:val="2"/>
          <w:sz w:val="21"/>
          <w:szCs w:val="21"/>
        </w:rPr>
        <w:t>在消防安全评估执行过程中，询比方有权了解参比人的工作程序和工作进度，并对其工作质量进行检查监督；</w:t>
      </w:r>
    </w:p>
    <w:p w14:paraId="1B8FAFCF">
      <w:pPr>
        <w:pStyle w:val="73"/>
        <w:spacing w:line="300" w:lineRule="auto"/>
        <w:ind w:firstLine="420" w:firstLineChars="200"/>
        <w:contextualSpacing/>
        <w:rPr>
          <w:rFonts w:hAnsi="宋体"/>
          <w:color w:val="auto"/>
          <w:kern w:val="2"/>
          <w:sz w:val="21"/>
          <w:szCs w:val="21"/>
        </w:rPr>
      </w:pPr>
      <w:r>
        <w:rPr>
          <w:rFonts w:hint="eastAsia" w:hAnsi="宋体"/>
          <w:sz w:val="21"/>
          <w:szCs w:val="21"/>
        </w:rPr>
        <w:t>（十）</w:t>
      </w:r>
      <w:r>
        <w:rPr>
          <w:rFonts w:hint="eastAsia" w:hAnsi="宋体"/>
          <w:color w:val="auto"/>
          <w:kern w:val="2"/>
          <w:sz w:val="21"/>
          <w:szCs w:val="21"/>
        </w:rPr>
        <w:t>参比人在开展工作时应执行和遵守福海创相应的质量和安全管理规定，并承担相应的违（规）约责任；</w:t>
      </w:r>
    </w:p>
    <w:p w14:paraId="2D47F709">
      <w:pPr>
        <w:pStyle w:val="73"/>
        <w:spacing w:line="300" w:lineRule="auto"/>
        <w:ind w:firstLine="420" w:firstLineChars="200"/>
        <w:contextualSpacing/>
        <w:rPr>
          <w:rFonts w:hAnsi="宋体"/>
          <w:color w:val="auto"/>
          <w:kern w:val="2"/>
          <w:sz w:val="21"/>
          <w:szCs w:val="21"/>
        </w:rPr>
      </w:pPr>
      <w:r>
        <w:rPr>
          <w:rFonts w:hint="eastAsia" w:hAnsi="宋体"/>
          <w:sz w:val="21"/>
          <w:szCs w:val="21"/>
        </w:rPr>
        <w:t>（十一）</w:t>
      </w:r>
      <w:r>
        <w:rPr>
          <w:rFonts w:hint="eastAsia" w:hAnsi="宋体"/>
          <w:color w:val="auto"/>
          <w:kern w:val="2"/>
          <w:sz w:val="21"/>
          <w:szCs w:val="21"/>
        </w:rPr>
        <w:t>由于评估过程中涉及到相关消防设计资料及现场实际情况，参比人需签署保密协议；</w:t>
      </w:r>
    </w:p>
    <w:p w14:paraId="5A6EED37">
      <w:pPr>
        <w:pStyle w:val="73"/>
        <w:spacing w:line="300" w:lineRule="auto"/>
        <w:ind w:firstLine="420" w:firstLineChars="200"/>
        <w:contextualSpacing/>
        <w:rPr>
          <w:rFonts w:hAnsi="宋体"/>
          <w:color w:val="auto"/>
          <w:kern w:val="2"/>
          <w:sz w:val="21"/>
          <w:szCs w:val="21"/>
        </w:rPr>
      </w:pPr>
      <w:r>
        <w:rPr>
          <w:rFonts w:hint="eastAsia" w:hAnsi="宋体"/>
          <w:sz w:val="21"/>
          <w:szCs w:val="21"/>
        </w:rPr>
        <w:t>（十二）</w:t>
      </w:r>
      <w:r>
        <w:rPr>
          <w:rFonts w:hint="eastAsia" w:hAnsi="宋体"/>
          <w:color w:val="auto"/>
          <w:kern w:val="2"/>
          <w:sz w:val="21"/>
          <w:szCs w:val="21"/>
        </w:rPr>
        <w:t>福建福海创石油化工有限公司、腾龙芳烃（漳州）有限公司消防评查纸质报告各一式4份（装裱成册签字盖章版）、完整可编辑的电子版一份、签字盖章版扫描版一份。评查记录及报告应由评估人员和评估单位签字盖章，所提供的评查报告应符合消防部门的要求；</w:t>
      </w:r>
    </w:p>
    <w:p w14:paraId="1103AE98">
      <w:pPr>
        <w:tabs>
          <w:tab w:val="left" w:pos="600"/>
        </w:tabs>
        <w:spacing w:line="300" w:lineRule="auto"/>
        <w:ind w:firstLine="420" w:firstLineChars="200"/>
        <w:contextualSpacing/>
        <w:rPr>
          <w:sz w:val="21"/>
          <w:szCs w:val="21"/>
          <w:lang w:eastAsia="zh-CN"/>
        </w:rPr>
      </w:pPr>
      <w:r>
        <w:rPr>
          <w:rFonts w:hint="eastAsia"/>
          <w:sz w:val="21"/>
          <w:szCs w:val="21"/>
          <w:lang w:eastAsia="zh-CN"/>
        </w:rPr>
        <w:t>（十三）参照《单位消防安全评估》XF/T3005-2020相关规定，本项目涉及单位消防设施检测及维护保养资料的核查及评估，作为本年度消防设施维保及检测消防技术服务机构属于被评估对像，不得参加本次消防评估投标。</w:t>
      </w:r>
    </w:p>
    <w:p w14:paraId="44CD05F0">
      <w:pPr>
        <w:pStyle w:val="73"/>
        <w:spacing w:line="300" w:lineRule="auto"/>
        <w:rPr>
          <w:rFonts w:hAnsi="宋体"/>
          <w:b/>
          <w:sz w:val="21"/>
          <w:szCs w:val="21"/>
        </w:rPr>
      </w:pPr>
      <w:r>
        <w:rPr>
          <w:rFonts w:hint="eastAsia" w:hAnsi="宋体"/>
          <w:b/>
          <w:sz w:val="21"/>
          <w:szCs w:val="21"/>
        </w:rPr>
        <w:t>五、消防评估内容</w:t>
      </w:r>
    </w:p>
    <w:p w14:paraId="1EC93B33">
      <w:pPr>
        <w:pStyle w:val="73"/>
        <w:spacing w:line="300" w:lineRule="auto"/>
        <w:ind w:firstLine="420" w:firstLineChars="200"/>
        <w:rPr>
          <w:rFonts w:hAnsi="宋体"/>
          <w:sz w:val="21"/>
          <w:szCs w:val="21"/>
        </w:rPr>
      </w:pPr>
      <w:r>
        <w:rPr>
          <w:rFonts w:hint="eastAsia" w:hAnsi="宋体"/>
          <w:sz w:val="21"/>
          <w:szCs w:val="21"/>
        </w:rPr>
        <w:t>按照闽公消〔2018〕32号关于印发《福建省建筑消防安全评查规定》（试行）的通知要求开展相关消防安全评估，评估工作相关内容如下：</w:t>
      </w:r>
    </w:p>
    <w:p w14:paraId="12276DE3">
      <w:pPr>
        <w:pStyle w:val="73"/>
        <w:spacing w:line="300" w:lineRule="auto"/>
        <w:ind w:firstLine="420" w:firstLineChars="200"/>
        <w:rPr>
          <w:rFonts w:hAnsi="宋体"/>
          <w:sz w:val="21"/>
          <w:szCs w:val="21"/>
        </w:rPr>
      </w:pPr>
      <w:r>
        <w:rPr>
          <w:rFonts w:hint="eastAsia" w:hAnsi="宋体"/>
          <w:sz w:val="21"/>
          <w:szCs w:val="21"/>
        </w:rPr>
        <w:t>（一）消防设计审核、消防验收批复文件；</w:t>
      </w:r>
    </w:p>
    <w:p w14:paraId="3833DC25">
      <w:pPr>
        <w:snapToGrid w:val="0"/>
        <w:spacing w:line="300" w:lineRule="auto"/>
        <w:ind w:firstLine="420" w:firstLineChars="200"/>
        <w:contextualSpacing/>
        <w:rPr>
          <w:bCs/>
          <w:sz w:val="21"/>
          <w:szCs w:val="21"/>
          <w:lang w:eastAsia="zh-CN"/>
        </w:rPr>
      </w:pPr>
      <w:r>
        <w:rPr>
          <w:rFonts w:hint="eastAsia"/>
          <w:sz w:val="21"/>
          <w:szCs w:val="21"/>
          <w:lang w:eastAsia="zh-CN"/>
        </w:rPr>
        <w:t>（二）</w:t>
      </w:r>
      <w:r>
        <w:rPr>
          <w:rFonts w:hint="eastAsia"/>
          <w:bCs/>
          <w:sz w:val="21"/>
          <w:szCs w:val="21"/>
          <w:lang w:eastAsia="zh-CN"/>
        </w:rPr>
        <w:t>监督检查发现问题整改情况；</w:t>
      </w:r>
    </w:p>
    <w:p w14:paraId="14AFED86">
      <w:pPr>
        <w:snapToGrid w:val="0"/>
        <w:spacing w:line="300" w:lineRule="auto"/>
        <w:ind w:firstLine="420" w:firstLineChars="200"/>
        <w:contextualSpacing/>
        <w:rPr>
          <w:bCs/>
          <w:sz w:val="21"/>
          <w:szCs w:val="21"/>
          <w:lang w:eastAsia="zh-CN"/>
        </w:rPr>
      </w:pPr>
      <w:r>
        <w:rPr>
          <w:rFonts w:hint="eastAsia"/>
          <w:sz w:val="21"/>
          <w:szCs w:val="21"/>
          <w:lang w:eastAsia="zh-CN"/>
        </w:rPr>
        <w:t>（三）</w:t>
      </w:r>
      <w:r>
        <w:rPr>
          <w:rFonts w:hint="eastAsia"/>
          <w:bCs/>
          <w:sz w:val="21"/>
          <w:szCs w:val="21"/>
          <w:lang w:eastAsia="zh-CN"/>
        </w:rPr>
        <w:t>总平面布置情况；</w:t>
      </w:r>
    </w:p>
    <w:p w14:paraId="655B8526">
      <w:pPr>
        <w:snapToGrid w:val="0"/>
        <w:spacing w:line="300" w:lineRule="auto"/>
        <w:ind w:firstLine="420" w:firstLineChars="200"/>
        <w:contextualSpacing/>
        <w:rPr>
          <w:bCs/>
          <w:sz w:val="21"/>
          <w:szCs w:val="21"/>
          <w:lang w:eastAsia="zh-CN"/>
        </w:rPr>
      </w:pPr>
      <w:r>
        <w:rPr>
          <w:rFonts w:hint="eastAsia"/>
          <w:sz w:val="21"/>
          <w:szCs w:val="21"/>
          <w:lang w:eastAsia="zh-CN"/>
        </w:rPr>
        <w:t>（四）</w:t>
      </w:r>
      <w:r>
        <w:rPr>
          <w:rFonts w:hint="eastAsia"/>
          <w:bCs/>
          <w:sz w:val="21"/>
          <w:szCs w:val="21"/>
          <w:lang w:eastAsia="zh-CN"/>
        </w:rPr>
        <w:t>工艺流程情况；</w:t>
      </w:r>
    </w:p>
    <w:p w14:paraId="4A304223">
      <w:pPr>
        <w:snapToGrid w:val="0"/>
        <w:spacing w:line="300" w:lineRule="auto"/>
        <w:ind w:firstLine="420" w:firstLineChars="200"/>
        <w:contextualSpacing/>
        <w:rPr>
          <w:bCs/>
          <w:sz w:val="21"/>
          <w:szCs w:val="21"/>
          <w:lang w:eastAsia="zh-CN"/>
        </w:rPr>
      </w:pPr>
      <w:r>
        <w:rPr>
          <w:rFonts w:hint="eastAsia"/>
          <w:sz w:val="21"/>
          <w:szCs w:val="21"/>
          <w:lang w:eastAsia="zh-CN"/>
        </w:rPr>
        <w:t>（五）</w:t>
      </w:r>
      <w:r>
        <w:rPr>
          <w:rFonts w:hint="eastAsia"/>
          <w:bCs/>
          <w:sz w:val="21"/>
          <w:szCs w:val="21"/>
          <w:lang w:eastAsia="zh-CN"/>
        </w:rPr>
        <w:t>储罐及生产装置情况（储罐存储物质及储量、装置的火灾危险性）；</w:t>
      </w:r>
    </w:p>
    <w:p w14:paraId="6FD29A0D">
      <w:pPr>
        <w:snapToGrid w:val="0"/>
        <w:spacing w:line="300" w:lineRule="auto"/>
        <w:ind w:firstLine="420" w:firstLineChars="200"/>
        <w:contextualSpacing/>
        <w:rPr>
          <w:bCs/>
          <w:sz w:val="21"/>
          <w:szCs w:val="21"/>
          <w:lang w:eastAsia="zh-CN"/>
        </w:rPr>
      </w:pPr>
      <w:r>
        <w:rPr>
          <w:rFonts w:hint="eastAsia"/>
          <w:sz w:val="21"/>
          <w:szCs w:val="21"/>
          <w:lang w:eastAsia="zh-CN"/>
        </w:rPr>
        <w:t>（六）</w:t>
      </w:r>
      <w:r>
        <w:rPr>
          <w:rFonts w:hint="eastAsia"/>
          <w:bCs/>
          <w:sz w:val="21"/>
          <w:szCs w:val="21"/>
          <w:lang w:eastAsia="zh-CN"/>
        </w:rPr>
        <w:t>消防设施情况（消防站、消防水源及泵房、消防用水量、消防给水及消火栓系统、自动灭火系统等）；</w:t>
      </w:r>
    </w:p>
    <w:p w14:paraId="7F59684A">
      <w:pPr>
        <w:snapToGrid w:val="0"/>
        <w:spacing w:line="300" w:lineRule="auto"/>
        <w:ind w:firstLine="420" w:firstLineChars="200"/>
        <w:contextualSpacing/>
        <w:rPr>
          <w:bCs/>
          <w:sz w:val="21"/>
          <w:szCs w:val="21"/>
          <w:lang w:eastAsia="zh-CN"/>
        </w:rPr>
      </w:pPr>
      <w:r>
        <w:rPr>
          <w:rFonts w:hint="eastAsia"/>
          <w:sz w:val="21"/>
          <w:szCs w:val="21"/>
          <w:lang w:eastAsia="zh-CN"/>
        </w:rPr>
        <w:t>（七）</w:t>
      </w:r>
      <w:r>
        <w:rPr>
          <w:rFonts w:hint="eastAsia"/>
          <w:bCs/>
          <w:sz w:val="21"/>
          <w:szCs w:val="21"/>
          <w:lang w:eastAsia="zh-CN"/>
        </w:rPr>
        <w:t>电气设施情况（消防电源、防雷及防静电）；</w:t>
      </w:r>
    </w:p>
    <w:p w14:paraId="52BB4BC2">
      <w:pPr>
        <w:snapToGrid w:val="0"/>
        <w:spacing w:line="300" w:lineRule="auto"/>
        <w:ind w:firstLine="420" w:firstLineChars="200"/>
        <w:contextualSpacing/>
        <w:rPr>
          <w:bCs/>
          <w:sz w:val="21"/>
          <w:szCs w:val="21"/>
          <w:lang w:eastAsia="zh-CN"/>
        </w:rPr>
      </w:pPr>
      <w:r>
        <w:rPr>
          <w:rFonts w:hint="eastAsia"/>
          <w:sz w:val="21"/>
          <w:szCs w:val="21"/>
          <w:lang w:eastAsia="zh-CN"/>
        </w:rPr>
        <w:t>（八）</w:t>
      </w:r>
      <w:r>
        <w:rPr>
          <w:rFonts w:hint="eastAsia"/>
          <w:bCs/>
          <w:sz w:val="21"/>
          <w:szCs w:val="21"/>
          <w:lang w:eastAsia="zh-CN"/>
        </w:rPr>
        <w:t>消防设施维保检测报告；</w:t>
      </w:r>
    </w:p>
    <w:p w14:paraId="6447D782">
      <w:pPr>
        <w:snapToGrid w:val="0"/>
        <w:spacing w:line="300" w:lineRule="auto"/>
        <w:ind w:firstLine="420" w:firstLineChars="200"/>
        <w:contextualSpacing/>
        <w:rPr>
          <w:bCs/>
          <w:sz w:val="21"/>
          <w:szCs w:val="21"/>
          <w:lang w:eastAsia="zh-CN"/>
        </w:rPr>
      </w:pPr>
      <w:r>
        <w:rPr>
          <w:rFonts w:hint="eastAsia"/>
          <w:sz w:val="21"/>
          <w:szCs w:val="21"/>
          <w:lang w:eastAsia="zh-CN"/>
        </w:rPr>
        <w:t>（九）</w:t>
      </w:r>
      <w:r>
        <w:rPr>
          <w:rFonts w:hint="eastAsia"/>
          <w:bCs/>
          <w:sz w:val="21"/>
          <w:szCs w:val="21"/>
          <w:lang w:eastAsia="zh-CN"/>
        </w:rPr>
        <w:t>员工消防安全教育培训制度及记录；</w:t>
      </w:r>
    </w:p>
    <w:p w14:paraId="24EA109E">
      <w:pPr>
        <w:snapToGrid w:val="0"/>
        <w:spacing w:line="300" w:lineRule="auto"/>
        <w:ind w:firstLine="420" w:firstLineChars="200"/>
        <w:contextualSpacing/>
        <w:rPr>
          <w:bCs/>
          <w:sz w:val="21"/>
          <w:szCs w:val="21"/>
          <w:lang w:eastAsia="zh-CN"/>
        </w:rPr>
      </w:pPr>
      <w:r>
        <w:rPr>
          <w:rFonts w:hint="eastAsia"/>
          <w:sz w:val="21"/>
          <w:szCs w:val="21"/>
          <w:lang w:eastAsia="zh-CN"/>
        </w:rPr>
        <w:t>（十）</w:t>
      </w:r>
      <w:r>
        <w:rPr>
          <w:rFonts w:hint="eastAsia"/>
          <w:bCs/>
          <w:sz w:val="21"/>
          <w:szCs w:val="21"/>
          <w:lang w:eastAsia="zh-CN"/>
        </w:rPr>
        <w:t>防火巡查、检查制度及记录；</w:t>
      </w:r>
    </w:p>
    <w:p w14:paraId="1F909C11">
      <w:pPr>
        <w:snapToGrid w:val="0"/>
        <w:spacing w:line="300" w:lineRule="auto"/>
        <w:ind w:firstLine="420" w:firstLineChars="200"/>
        <w:contextualSpacing/>
        <w:rPr>
          <w:bCs/>
          <w:sz w:val="21"/>
          <w:szCs w:val="21"/>
          <w:lang w:eastAsia="zh-CN"/>
        </w:rPr>
      </w:pPr>
      <w:r>
        <w:rPr>
          <w:rFonts w:hint="eastAsia"/>
          <w:sz w:val="21"/>
          <w:szCs w:val="21"/>
          <w:lang w:eastAsia="zh-CN"/>
        </w:rPr>
        <w:t>（十一）</w:t>
      </w:r>
      <w:r>
        <w:rPr>
          <w:rFonts w:hint="eastAsia"/>
          <w:bCs/>
          <w:sz w:val="21"/>
          <w:szCs w:val="21"/>
          <w:lang w:eastAsia="zh-CN"/>
        </w:rPr>
        <w:t>消防设施、器材维护管理制度及记录；</w:t>
      </w:r>
    </w:p>
    <w:p w14:paraId="0F26CB96">
      <w:pPr>
        <w:snapToGrid w:val="0"/>
        <w:spacing w:line="300" w:lineRule="auto"/>
        <w:ind w:firstLine="420" w:firstLineChars="200"/>
        <w:contextualSpacing/>
        <w:rPr>
          <w:bCs/>
          <w:sz w:val="21"/>
          <w:szCs w:val="21"/>
          <w:lang w:eastAsia="zh-CN"/>
        </w:rPr>
      </w:pPr>
      <w:r>
        <w:rPr>
          <w:rFonts w:hint="eastAsia"/>
          <w:sz w:val="21"/>
          <w:szCs w:val="21"/>
          <w:lang w:eastAsia="zh-CN"/>
        </w:rPr>
        <w:t>（十二）</w:t>
      </w:r>
      <w:r>
        <w:rPr>
          <w:rFonts w:hint="eastAsia"/>
          <w:bCs/>
          <w:sz w:val="21"/>
          <w:szCs w:val="21"/>
          <w:lang w:eastAsia="zh-CN"/>
        </w:rPr>
        <w:t>灭火和应急疏散预案演练制度及记录；</w:t>
      </w:r>
    </w:p>
    <w:p w14:paraId="5D97322B">
      <w:pPr>
        <w:snapToGrid w:val="0"/>
        <w:spacing w:line="300" w:lineRule="auto"/>
        <w:ind w:firstLine="420" w:firstLineChars="200"/>
        <w:contextualSpacing/>
        <w:rPr>
          <w:bCs/>
          <w:sz w:val="21"/>
          <w:szCs w:val="21"/>
          <w:lang w:eastAsia="zh-CN"/>
        </w:rPr>
      </w:pPr>
      <w:r>
        <w:rPr>
          <w:rFonts w:hint="eastAsia"/>
          <w:sz w:val="21"/>
          <w:szCs w:val="21"/>
          <w:lang w:eastAsia="zh-CN"/>
        </w:rPr>
        <w:t>（十三）</w:t>
      </w:r>
      <w:r>
        <w:rPr>
          <w:rFonts w:hint="eastAsia"/>
          <w:bCs/>
          <w:sz w:val="21"/>
          <w:szCs w:val="21"/>
          <w:lang w:eastAsia="zh-CN"/>
        </w:rPr>
        <w:t>火灾隐患整改制度及记录；</w:t>
      </w:r>
    </w:p>
    <w:p w14:paraId="0CD5288F">
      <w:pPr>
        <w:snapToGrid w:val="0"/>
        <w:spacing w:line="300" w:lineRule="auto"/>
        <w:ind w:firstLine="420" w:firstLineChars="200"/>
        <w:contextualSpacing/>
        <w:rPr>
          <w:bCs/>
          <w:sz w:val="21"/>
          <w:szCs w:val="21"/>
          <w:lang w:eastAsia="zh-CN"/>
        </w:rPr>
      </w:pPr>
      <w:r>
        <w:rPr>
          <w:rFonts w:hint="eastAsia"/>
          <w:sz w:val="21"/>
          <w:szCs w:val="21"/>
          <w:lang w:eastAsia="zh-CN"/>
        </w:rPr>
        <w:t>（十四）</w:t>
      </w:r>
      <w:r>
        <w:rPr>
          <w:rFonts w:hint="eastAsia"/>
          <w:bCs/>
          <w:sz w:val="21"/>
          <w:szCs w:val="21"/>
          <w:lang w:eastAsia="zh-CN"/>
        </w:rPr>
        <w:t>安全疏散设施管理制度；</w:t>
      </w:r>
    </w:p>
    <w:p w14:paraId="5D4C99E9">
      <w:pPr>
        <w:snapToGrid w:val="0"/>
        <w:spacing w:line="300" w:lineRule="auto"/>
        <w:ind w:firstLine="420" w:firstLineChars="200"/>
        <w:contextualSpacing/>
        <w:rPr>
          <w:bCs/>
          <w:sz w:val="21"/>
          <w:szCs w:val="21"/>
        </w:rPr>
      </w:pPr>
      <w:r>
        <w:rPr>
          <w:rFonts w:hint="eastAsia"/>
          <w:sz w:val="21"/>
          <w:szCs w:val="21"/>
        </w:rPr>
        <w:t>（十五）</w:t>
      </w:r>
      <w:r>
        <w:rPr>
          <w:rFonts w:hint="eastAsia"/>
          <w:bCs/>
          <w:sz w:val="21"/>
          <w:szCs w:val="21"/>
        </w:rPr>
        <w:t>消防(控制室)值班制度；</w:t>
      </w:r>
    </w:p>
    <w:p w14:paraId="7667BC47">
      <w:pPr>
        <w:snapToGrid w:val="0"/>
        <w:spacing w:line="300" w:lineRule="auto"/>
        <w:ind w:firstLine="420" w:firstLineChars="200"/>
        <w:contextualSpacing/>
        <w:rPr>
          <w:bCs/>
          <w:sz w:val="21"/>
          <w:szCs w:val="21"/>
          <w:lang w:eastAsia="zh-CN"/>
        </w:rPr>
      </w:pPr>
      <w:r>
        <w:rPr>
          <w:rFonts w:hint="eastAsia"/>
          <w:sz w:val="21"/>
          <w:szCs w:val="21"/>
          <w:lang w:eastAsia="zh-CN"/>
        </w:rPr>
        <w:t>（十六）</w:t>
      </w:r>
      <w:r>
        <w:rPr>
          <w:rFonts w:hint="eastAsia"/>
          <w:bCs/>
          <w:sz w:val="21"/>
          <w:szCs w:val="21"/>
          <w:lang w:eastAsia="zh-CN"/>
        </w:rPr>
        <w:t>用火、用电安全管理制度；</w:t>
      </w:r>
    </w:p>
    <w:p w14:paraId="2A1F6F5B">
      <w:pPr>
        <w:snapToGrid w:val="0"/>
        <w:spacing w:line="300" w:lineRule="auto"/>
        <w:ind w:firstLine="420" w:firstLineChars="200"/>
        <w:contextualSpacing/>
        <w:rPr>
          <w:bCs/>
          <w:sz w:val="21"/>
          <w:szCs w:val="21"/>
          <w:lang w:eastAsia="zh-CN"/>
        </w:rPr>
      </w:pPr>
      <w:r>
        <w:rPr>
          <w:rFonts w:hint="eastAsia"/>
          <w:sz w:val="21"/>
          <w:szCs w:val="21"/>
          <w:lang w:eastAsia="zh-CN"/>
        </w:rPr>
        <w:t>（十七）</w:t>
      </w:r>
      <w:r>
        <w:rPr>
          <w:rFonts w:hint="eastAsia"/>
          <w:bCs/>
          <w:sz w:val="21"/>
          <w:szCs w:val="21"/>
          <w:lang w:eastAsia="zh-CN"/>
        </w:rPr>
        <w:t>易燃易爆危险物品和场所防火防爆制度；</w:t>
      </w:r>
    </w:p>
    <w:p w14:paraId="1DBEE6E5">
      <w:pPr>
        <w:snapToGrid w:val="0"/>
        <w:spacing w:line="300" w:lineRule="auto"/>
        <w:ind w:firstLine="420" w:firstLineChars="200"/>
        <w:contextualSpacing/>
        <w:rPr>
          <w:bCs/>
          <w:sz w:val="21"/>
          <w:szCs w:val="21"/>
          <w:lang w:eastAsia="zh-CN"/>
        </w:rPr>
      </w:pPr>
      <w:r>
        <w:rPr>
          <w:rFonts w:hint="eastAsia"/>
          <w:sz w:val="21"/>
          <w:szCs w:val="21"/>
          <w:lang w:eastAsia="zh-CN"/>
        </w:rPr>
        <w:t>（十八）</w:t>
      </w:r>
      <w:r>
        <w:rPr>
          <w:rFonts w:hint="eastAsia"/>
          <w:bCs/>
          <w:sz w:val="21"/>
          <w:szCs w:val="21"/>
          <w:lang w:eastAsia="zh-CN"/>
        </w:rPr>
        <w:t>消防安全管理组织机构和各级消防安全责任人制度；</w:t>
      </w:r>
    </w:p>
    <w:p w14:paraId="784E0AED">
      <w:pPr>
        <w:snapToGrid w:val="0"/>
        <w:spacing w:line="300" w:lineRule="auto"/>
        <w:ind w:firstLine="420" w:firstLineChars="200"/>
        <w:contextualSpacing/>
        <w:rPr>
          <w:bCs/>
          <w:sz w:val="21"/>
          <w:szCs w:val="21"/>
          <w:lang w:eastAsia="zh-CN"/>
        </w:rPr>
      </w:pPr>
      <w:r>
        <w:rPr>
          <w:rFonts w:hint="eastAsia"/>
          <w:sz w:val="21"/>
          <w:szCs w:val="21"/>
          <w:lang w:eastAsia="zh-CN"/>
        </w:rPr>
        <w:t>（十九）</w:t>
      </w:r>
      <w:r>
        <w:rPr>
          <w:rFonts w:hint="eastAsia"/>
          <w:bCs/>
          <w:sz w:val="21"/>
          <w:szCs w:val="21"/>
          <w:lang w:eastAsia="zh-CN"/>
        </w:rPr>
        <w:t>消防控制室值班及操作人员职业资格证书；</w:t>
      </w:r>
    </w:p>
    <w:p w14:paraId="7AD0589C">
      <w:pPr>
        <w:snapToGrid w:val="0"/>
        <w:spacing w:line="300" w:lineRule="auto"/>
        <w:ind w:firstLine="420" w:firstLineChars="200"/>
        <w:contextualSpacing/>
        <w:rPr>
          <w:bCs/>
          <w:sz w:val="21"/>
          <w:szCs w:val="21"/>
          <w:lang w:eastAsia="zh-CN"/>
        </w:rPr>
      </w:pPr>
      <w:r>
        <w:rPr>
          <w:rFonts w:hint="eastAsia"/>
          <w:sz w:val="21"/>
          <w:szCs w:val="21"/>
          <w:lang w:eastAsia="zh-CN"/>
        </w:rPr>
        <w:t>（二十）</w:t>
      </w:r>
      <w:r>
        <w:rPr>
          <w:rFonts w:hint="eastAsia"/>
          <w:bCs/>
          <w:sz w:val="21"/>
          <w:szCs w:val="21"/>
          <w:lang w:eastAsia="zh-CN"/>
        </w:rPr>
        <w:t>依法建立专（兼）职消防队情况；</w:t>
      </w:r>
    </w:p>
    <w:p w14:paraId="0CD3AB36">
      <w:pPr>
        <w:snapToGrid w:val="0"/>
        <w:spacing w:line="300" w:lineRule="auto"/>
        <w:ind w:firstLine="420" w:firstLineChars="200"/>
        <w:contextualSpacing/>
        <w:rPr>
          <w:bCs/>
          <w:sz w:val="21"/>
          <w:szCs w:val="21"/>
          <w:lang w:eastAsia="zh-CN"/>
        </w:rPr>
      </w:pPr>
      <w:r>
        <w:rPr>
          <w:rFonts w:hint="eastAsia"/>
          <w:sz w:val="21"/>
          <w:szCs w:val="21"/>
          <w:lang w:eastAsia="zh-CN"/>
        </w:rPr>
        <w:t>（二十一）</w:t>
      </w:r>
      <w:r>
        <w:rPr>
          <w:rFonts w:hint="eastAsia"/>
          <w:bCs/>
          <w:sz w:val="21"/>
          <w:szCs w:val="21"/>
          <w:lang w:eastAsia="zh-CN"/>
        </w:rPr>
        <w:t>以往火灾记录情况。</w:t>
      </w:r>
    </w:p>
    <w:p w14:paraId="3AB670EF">
      <w:pPr>
        <w:pStyle w:val="45"/>
        <w:tabs>
          <w:tab w:val="left" w:pos="0"/>
          <w:tab w:val="left" w:pos="993"/>
          <w:tab w:val="left" w:pos="1134"/>
        </w:tabs>
        <w:spacing w:line="300" w:lineRule="auto"/>
        <w:ind w:left="0" w:leftChars="0" w:right="-660" w:rightChars="-300" w:firstLine="0" w:firstLineChars="0"/>
        <w:rPr>
          <w:b/>
          <w:sz w:val="21"/>
          <w:szCs w:val="21"/>
          <w:lang w:eastAsia="zh-CN"/>
        </w:rPr>
      </w:pPr>
      <w:r>
        <w:rPr>
          <w:rFonts w:hint="eastAsia"/>
          <w:b/>
          <w:sz w:val="21"/>
          <w:szCs w:val="21"/>
          <w:lang w:eastAsia="zh-CN"/>
        </w:rPr>
        <w:t>六、评标方式</w:t>
      </w:r>
    </w:p>
    <w:p w14:paraId="2979B1F6">
      <w:pPr>
        <w:snapToGrid w:val="0"/>
        <w:spacing w:line="300" w:lineRule="auto"/>
        <w:ind w:right="-660" w:rightChars="-300"/>
        <w:contextualSpacing/>
        <w:rPr>
          <w:sz w:val="21"/>
          <w:szCs w:val="21"/>
          <w:lang w:eastAsia="zh-CN"/>
        </w:rPr>
      </w:pPr>
      <w:r>
        <w:rPr>
          <w:rFonts w:hint="eastAsia"/>
          <w:sz w:val="21"/>
          <w:szCs w:val="21"/>
          <w:lang w:eastAsia="zh-CN"/>
        </w:rPr>
        <w:t>（一）本次公开询比采用综合评分法，满分100分，其中技术分占20分，商务分占10分，报价分占70分；</w:t>
      </w:r>
    </w:p>
    <w:p w14:paraId="7F5544F3">
      <w:pPr>
        <w:snapToGrid w:val="0"/>
        <w:spacing w:line="300" w:lineRule="auto"/>
        <w:ind w:right="-660" w:rightChars="-300"/>
        <w:contextualSpacing/>
        <w:rPr>
          <w:sz w:val="21"/>
          <w:szCs w:val="21"/>
          <w:lang w:eastAsia="zh-CN"/>
        </w:rPr>
      </w:pPr>
      <w:r>
        <w:rPr>
          <w:rFonts w:hint="eastAsia"/>
          <w:sz w:val="21"/>
          <w:szCs w:val="21"/>
          <w:lang w:eastAsia="zh-CN"/>
        </w:rPr>
        <w:t>（二）参比人按照相同的标准递交投标文件。询比评审后，根据评分标准，综合得分排名第一的为中选人。</w:t>
      </w:r>
      <w:bookmarkStart w:id="19" w:name="_Toc141689014"/>
    </w:p>
    <w:bookmarkEnd w:id="19"/>
    <w:p w14:paraId="49008718">
      <w:pPr>
        <w:spacing w:line="300" w:lineRule="auto"/>
        <w:ind w:right="-660" w:rightChars="-300"/>
        <w:rPr>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（三）技术评分（满分20分）</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209"/>
        <w:gridCol w:w="7132"/>
      </w:tblGrid>
      <w:tr w14:paraId="0B6C6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tblHeader/>
          <w:jc w:val="center"/>
        </w:trPr>
        <w:tc>
          <w:tcPr>
            <w:tcW w:w="1113" w:type="dxa"/>
            <w:tcBorders>
              <w:top w:val="single" w:color="auto" w:sz="4" w:space="0"/>
              <w:left w:val="single" w:color="auto" w:sz="4" w:space="0"/>
              <w:bottom w:val="single" w:color="auto" w:sz="4" w:space="0"/>
              <w:right w:val="single" w:color="auto" w:sz="4" w:space="0"/>
            </w:tcBorders>
            <w:vAlign w:val="center"/>
          </w:tcPr>
          <w:p w14:paraId="682D8010">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项目</w:t>
            </w:r>
          </w:p>
        </w:tc>
        <w:tc>
          <w:tcPr>
            <w:tcW w:w="1214" w:type="dxa"/>
            <w:tcBorders>
              <w:top w:val="single" w:color="auto" w:sz="4" w:space="0"/>
              <w:left w:val="single" w:color="auto" w:sz="4" w:space="0"/>
              <w:bottom w:val="single" w:color="auto" w:sz="4" w:space="0"/>
              <w:right w:val="single" w:color="auto" w:sz="4" w:space="0"/>
            </w:tcBorders>
            <w:vAlign w:val="center"/>
          </w:tcPr>
          <w:p w14:paraId="23BF51C8">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分值</w:t>
            </w:r>
          </w:p>
        </w:tc>
        <w:tc>
          <w:tcPr>
            <w:tcW w:w="7173" w:type="dxa"/>
            <w:tcBorders>
              <w:top w:val="single" w:color="auto" w:sz="4" w:space="0"/>
              <w:left w:val="single" w:color="auto" w:sz="4" w:space="0"/>
              <w:bottom w:val="single" w:color="auto" w:sz="4" w:space="0"/>
              <w:right w:val="single" w:color="auto" w:sz="4" w:space="0"/>
            </w:tcBorders>
            <w:vAlign w:val="center"/>
          </w:tcPr>
          <w:p w14:paraId="72BF4B79">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方法描述</w:t>
            </w:r>
          </w:p>
        </w:tc>
      </w:tr>
      <w:tr w14:paraId="1AD54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8" w:hRule="atLeast"/>
          <w:jc w:val="center"/>
        </w:trPr>
        <w:tc>
          <w:tcPr>
            <w:tcW w:w="1113" w:type="dxa"/>
            <w:tcBorders>
              <w:top w:val="single" w:color="auto" w:sz="4" w:space="0"/>
              <w:left w:val="single" w:color="auto" w:sz="4" w:space="0"/>
              <w:bottom w:val="single" w:color="auto" w:sz="4" w:space="0"/>
              <w:right w:val="single" w:color="auto" w:sz="4" w:space="0"/>
            </w:tcBorders>
            <w:vAlign w:val="center"/>
          </w:tcPr>
          <w:p w14:paraId="4AE1516B">
            <w:pPr>
              <w:widowControl/>
              <w:snapToGrid w:val="0"/>
              <w:spacing w:line="360" w:lineRule="auto"/>
              <w:rPr>
                <w:color w:val="000000" w:themeColor="text1"/>
                <w:sz w:val="21"/>
                <w:szCs w:val="21"/>
                <w14:textFill>
                  <w14:solidFill>
                    <w14:schemeClr w14:val="tx1"/>
                  </w14:solidFill>
                </w14:textFill>
              </w:rPr>
            </w:pPr>
            <w:r>
              <w:rPr>
                <w:rFonts w:hint="eastAsia"/>
                <w:bCs/>
                <w:sz w:val="21"/>
                <w:szCs w:val="21"/>
              </w:rPr>
              <w:t>人员配置</w:t>
            </w:r>
          </w:p>
        </w:tc>
        <w:tc>
          <w:tcPr>
            <w:tcW w:w="1214" w:type="dxa"/>
            <w:tcBorders>
              <w:top w:val="single" w:color="auto" w:sz="4" w:space="0"/>
              <w:left w:val="single" w:color="auto" w:sz="4" w:space="0"/>
              <w:bottom w:val="single" w:color="auto" w:sz="4" w:space="0"/>
              <w:right w:val="single" w:color="auto" w:sz="4" w:space="0"/>
            </w:tcBorders>
            <w:vAlign w:val="center"/>
          </w:tcPr>
          <w:p w14:paraId="40F025A1">
            <w:pPr>
              <w:spacing w:line="360" w:lineRule="auto"/>
              <w:jc w:val="center"/>
              <w:rPr>
                <w:sz w:val="21"/>
                <w:szCs w:val="21"/>
              </w:rPr>
            </w:pPr>
            <w:r>
              <w:rPr>
                <w:rFonts w:hint="eastAsia"/>
                <w:sz w:val="21"/>
                <w:szCs w:val="21"/>
              </w:rPr>
              <w:t>12</w:t>
            </w:r>
          </w:p>
        </w:tc>
        <w:tc>
          <w:tcPr>
            <w:tcW w:w="7173" w:type="dxa"/>
            <w:tcBorders>
              <w:top w:val="single" w:color="auto" w:sz="4" w:space="0"/>
              <w:left w:val="single" w:color="auto" w:sz="4" w:space="0"/>
              <w:bottom w:val="single" w:color="auto" w:sz="4" w:space="0"/>
              <w:right w:val="single" w:color="auto" w:sz="4" w:space="0"/>
            </w:tcBorders>
            <w:vAlign w:val="center"/>
          </w:tcPr>
          <w:p w14:paraId="4DF88D70">
            <w:pPr>
              <w:widowControl/>
              <w:snapToGrid w:val="0"/>
              <w:spacing w:line="440" w:lineRule="exact"/>
              <w:rPr>
                <w:bCs/>
                <w:sz w:val="21"/>
                <w:szCs w:val="21"/>
                <w:lang w:eastAsia="zh-CN"/>
              </w:rPr>
            </w:pPr>
            <w:r>
              <w:rPr>
                <w:rFonts w:hint="eastAsia"/>
                <w:bCs/>
                <w:sz w:val="21"/>
                <w:szCs w:val="21"/>
                <w:lang w:eastAsia="zh-CN"/>
              </w:rPr>
              <w:t>1、配置现场评估人员须持有一级注册消防工程师资格证，得基础分6分。</w:t>
            </w:r>
          </w:p>
          <w:p w14:paraId="790FBB0C">
            <w:pPr>
              <w:widowControl/>
              <w:snapToGrid w:val="0"/>
              <w:spacing w:line="380" w:lineRule="exact"/>
              <w:rPr>
                <w:bCs/>
                <w:color w:val="000000" w:themeColor="text1"/>
                <w:sz w:val="21"/>
                <w:szCs w:val="21"/>
                <w:lang w:eastAsia="zh-CN"/>
                <w14:textFill>
                  <w14:solidFill>
                    <w14:schemeClr w14:val="tx1"/>
                  </w14:solidFill>
                </w14:textFill>
              </w:rPr>
            </w:pPr>
            <w:r>
              <w:rPr>
                <w:rFonts w:hint="eastAsia"/>
                <w:bCs/>
                <w:sz w:val="21"/>
                <w:szCs w:val="21"/>
                <w:lang w:eastAsia="zh-CN"/>
              </w:rPr>
              <w:t>2、在第1条基础上，同时持有与消防有关的高级工程师职称，每人加3分，同时持有与消防有关的中级及以上的资格证，每人加2分，满分12分。需提供证书复印件加盖投标人公章并全部装订在投标文件中）。</w:t>
            </w:r>
            <w:r>
              <w:rPr>
                <w:rFonts w:hint="eastAsia"/>
                <w:sz w:val="21"/>
                <w:szCs w:val="21"/>
                <w:lang w:eastAsia="zh-CN"/>
              </w:rPr>
              <w:t xml:space="preserve">  </w:t>
            </w:r>
          </w:p>
        </w:tc>
      </w:tr>
      <w:tr w14:paraId="1AC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0" w:hRule="atLeast"/>
          <w:jc w:val="center"/>
        </w:trPr>
        <w:tc>
          <w:tcPr>
            <w:tcW w:w="1113" w:type="dxa"/>
            <w:tcBorders>
              <w:top w:val="single" w:color="auto" w:sz="4" w:space="0"/>
              <w:left w:val="single" w:color="auto" w:sz="4" w:space="0"/>
              <w:bottom w:val="single" w:color="auto" w:sz="4" w:space="0"/>
              <w:right w:val="single" w:color="auto" w:sz="4" w:space="0"/>
            </w:tcBorders>
            <w:vAlign w:val="center"/>
          </w:tcPr>
          <w:p w14:paraId="6863B6AE">
            <w:pPr>
              <w:spacing w:line="360" w:lineRule="auto"/>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评查方案</w:t>
            </w:r>
          </w:p>
        </w:tc>
        <w:tc>
          <w:tcPr>
            <w:tcW w:w="1214" w:type="dxa"/>
            <w:tcBorders>
              <w:top w:val="single" w:color="auto" w:sz="4" w:space="0"/>
              <w:left w:val="single" w:color="auto" w:sz="4" w:space="0"/>
              <w:bottom w:val="single" w:color="auto" w:sz="4" w:space="0"/>
              <w:right w:val="single" w:color="auto" w:sz="4" w:space="0"/>
            </w:tcBorders>
            <w:vAlign w:val="center"/>
          </w:tcPr>
          <w:p w14:paraId="34467E4B">
            <w:pPr>
              <w:spacing w:line="360" w:lineRule="auto"/>
              <w:jc w:val="center"/>
              <w:rPr>
                <w:sz w:val="21"/>
                <w:szCs w:val="21"/>
              </w:rPr>
            </w:pPr>
            <w:r>
              <w:rPr>
                <w:rFonts w:hint="eastAsia"/>
                <w:sz w:val="21"/>
                <w:szCs w:val="21"/>
              </w:rPr>
              <w:t>8</w:t>
            </w:r>
          </w:p>
        </w:tc>
        <w:tc>
          <w:tcPr>
            <w:tcW w:w="7173" w:type="dxa"/>
            <w:tcBorders>
              <w:top w:val="single" w:color="auto" w:sz="4" w:space="0"/>
              <w:left w:val="single" w:color="auto" w:sz="4" w:space="0"/>
              <w:bottom w:val="single" w:color="auto" w:sz="4" w:space="0"/>
              <w:right w:val="single" w:color="auto" w:sz="4" w:space="0"/>
            </w:tcBorders>
            <w:vAlign w:val="center"/>
          </w:tcPr>
          <w:p w14:paraId="356635C0">
            <w:pPr>
              <w:widowControl/>
              <w:snapToGrid w:val="0"/>
              <w:spacing w:line="440" w:lineRule="exact"/>
              <w:rPr>
                <w:bCs/>
                <w:sz w:val="21"/>
                <w:szCs w:val="21"/>
                <w:lang w:eastAsia="zh-CN"/>
              </w:rPr>
            </w:pPr>
            <w:r>
              <w:rPr>
                <w:rFonts w:hint="eastAsia"/>
                <w:bCs/>
                <w:sz w:val="21"/>
                <w:szCs w:val="21"/>
                <w:lang w:eastAsia="zh-CN"/>
              </w:rPr>
              <w:t>评查方案有组织措施、技术措施、安全措施、技术支持力量、人员及装备配置、应急预案等方面评价：</w:t>
            </w:r>
          </w:p>
          <w:p w14:paraId="566C3C47">
            <w:pPr>
              <w:widowControl/>
              <w:snapToGrid w:val="0"/>
              <w:spacing w:line="440" w:lineRule="exact"/>
              <w:rPr>
                <w:bCs/>
                <w:sz w:val="21"/>
                <w:szCs w:val="21"/>
                <w:lang w:eastAsia="zh-CN"/>
              </w:rPr>
            </w:pPr>
            <w:r>
              <w:rPr>
                <w:rFonts w:hint="eastAsia" w:ascii="微软雅黑" w:hAnsi="微软雅黑" w:eastAsia="微软雅黑" w:cs="微软雅黑"/>
                <w:bCs/>
                <w:sz w:val="21"/>
                <w:szCs w:val="21"/>
                <w:lang w:eastAsia="zh-CN"/>
              </w:rPr>
              <w:t>①</w:t>
            </w:r>
            <w:r>
              <w:rPr>
                <w:rFonts w:hint="eastAsia"/>
                <w:bCs/>
                <w:sz w:val="21"/>
                <w:szCs w:val="21"/>
                <w:lang w:eastAsia="zh-CN"/>
              </w:rPr>
              <w:t>方案完善，得6~8分；</w:t>
            </w:r>
          </w:p>
          <w:p w14:paraId="189AD911">
            <w:pPr>
              <w:widowControl/>
              <w:snapToGrid w:val="0"/>
              <w:spacing w:line="440" w:lineRule="exact"/>
              <w:rPr>
                <w:bCs/>
                <w:sz w:val="21"/>
                <w:szCs w:val="21"/>
                <w:lang w:eastAsia="zh-CN"/>
              </w:rPr>
            </w:pPr>
            <w:r>
              <w:rPr>
                <w:rFonts w:hint="eastAsia" w:ascii="微软雅黑" w:hAnsi="微软雅黑" w:eastAsia="微软雅黑" w:cs="微软雅黑"/>
                <w:bCs/>
                <w:sz w:val="21"/>
                <w:szCs w:val="21"/>
                <w:lang w:eastAsia="zh-CN"/>
              </w:rPr>
              <w:t>②</w:t>
            </w:r>
            <w:r>
              <w:rPr>
                <w:rFonts w:hint="eastAsia"/>
                <w:bCs/>
                <w:sz w:val="21"/>
                <w:szCs w:val="21"/>
                <w:lang w:eastAsia="zh-CN"/>
              </w:rPr>
              <w:t>方案较完善，得4~5分；</w:t>
            </w:r>
          </w:p>
          <w:p w14:paraId="51EAC981">
            <w:pPr>
              <w:widowControl/>
              <w:snapToGrid w:val="0"/>
              <w:spacing w:line="440" w:lineRule="exact"/>
              <w:rPr>
                <w:bCs/>
                <w:sz w:val="21"/>
                <w:szCs w:val="21"/>
                <w:lang w:eastAsia="zh-CN"/>
              </w:rPr>
            </w:pPr>
            <w:r>
              <w:rPr>
                <w:rFonts w:hint="eastAsia" w:ascii="微软雅黑" w:hAnsi="微软雅黑" w:eastAsia="微软雅黑" w:cs="微软雅黑"/>
                <w:bCs/>
                <w:sz w:val="21"/>
                <w:szCs w:val="21"/>
                <w:lang w:eastAsia="zh-CN"/>
              </w:rPr>
              <w:t>③</w:t>
            </w:r>
            <w:r>
              <w:rPr>
                <w:rFonts w:hint="eastAsia"/>
                <w:bCs/>
                <w:sz w:val="21"/>
                <w:szCs w:val="21"/>
                <w:lang w:eastAsia="zh-CN"/>
              </w:rPr>
              <w:t>方案一般，得1~3分；</w:t>
            </w:r>
          </w:p>
          <w:p w14:paraId="5DF978F8">
            <w:pPr>
              <w:widowControl/>
              <w:snapToGrid w:val="0"/>
              <w:spacing w:line="440" w:lineRule="exact"/>
              <w:rPr>
                <w:bCs/>
                <w:sz w:val="21"/>
                <w:szCs w:val="21"/>
                <w:lang w:eastAsia="zh-CN"/>
              </w:rPr>
            </w:pPr>
            <w:r>
              <w:rPr>
                <w:rFonts w:hint="eastAsia" w:ascii="Calibri" w:hAnsi="Calibri" w:cs="Calibri"/>
                <w:bCs/>
                <w:sz w:val="21"/>
                <w:szCs w:val="21"/>
                <w:lang w:eastAsia="zh-CN"/>
              </w:rPr>
              <w:t>④</w:t>
            </w:r>
            <w:r>
              <w:rPr>
                <w:rFonts w:hint="eastAsia"/>
                <w:bCs/>
                <w:sz w:val="21"/>
                <w:szCs w:val="21"/>
                <w:lang w:eastAsia="zh-CN"/>
              </w:rPr>
              <w:t>无方案，得0分。</w:t>
            </w:r>
          </w:p>
        </w:tc>
      </w:tr>
    </w:tbl>
    <w:p w14:paraId="70B0A7A2">
      <w:pPr>
        <w:spacing w:line="360" w:lineRule="auto"/>
        <w:ind w:firstLine="420" w:firstLineChars="200"/>
        <w:rPr>
          <w:color w:val="000000" w:themeColor="text1"/>
          <w:sz w:val="21"/>
          <w:szCs w:val="21"/>
          <w:lang w:eastAsia="zh-CN"/>
          <w14:textFill>
            <w14:solidFill>
              <w14:schemeClr w14:val="tx1"/>
            </w14:solidFill>
          </w14:textFill>
        </w:rPr>
      </w:pPr>
      <w:bookmarkStart w:id="20" w:name="_Toc141689016"/>
      <w:r>
        <w:rPr>
          <w:rFonts w:hint="eastAsia"/>
          <w:color w:val="000000" w:themeColor="text1"/>
          <w:sz w:val="21"/>
          <w:szCs w:val="21"/>
          <w:lang w:eastAsia="zh-CN"/>
          <w14:textFill>
            <w14:solidFill>
              <w14:schemeClr w14:val="tx1"/>
            </w14:solidFill>
          </w14:textFill>
        </w:rPr>
        <w:t>（四）商务评分（满分10分）</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1162"/>
        <w:gridCol w:w="6582"/>
      </w:tblGrid>
      <w:tr w14:paraId="3C29A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blHeader/>
          <w:jc w:val="center"/>
        </w:trPr>
        <w:tc>
          <w:tcPr>
            <w:tcW w:w="1713" w:type="dxa"/>
            <w:tcBorders>
              <w:top w:val="single" w:color="auto" w:sz="4" w:space="0"/>
              <w:left w:val="single" w:color="auto" w:sz="4" w:space="0"/>
              <w:bottom w:val="single" w:color="auto" w:sz="4" w:space="0"/>
              <w:right w:val="single" w:color="auto" w:sz="4" w:space="0"/>
            </w:tcBorders>
            <w:vAlign w:val="center"/>
          </w:tcPr>
          <w:p w14:paraId="7775DDA3">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项目</w:t>
            </w:r>
          </w:p>
        </w:tc>
        <w:tc>
          <w:tcPr>
            <w:tcW w:w="1167" w:type="dxa"/>
            <w:tcBorders>
              <w:top w:val="single" w:color="auto" w:sz="4" w:space="0"/>
              <w:left w:val="single" w:color="auto" w:sz="4" w:space="0"/>
              <w:bottom w:val="single" w:color="auto" w:sz="4" w:space="0"/>
              <w:right w:val="single" w:color="auto" w:sz="4" w:space="0"/>
            </w:tcBorders>
            <w:vAlign w:val="center"/>
          </w:tcPr>
          <w:p w14:paraId="2E297629">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分值</w:t>
            </w:r>
          </w:p>
        </w:tc>
        <w:tc>
          <w:tcPr>
            <w:tcW w:w="6620" w:type="dxa"/>
            <w:tcBorders>
              <w:top w:val="single" w:color="auto" w:sz="4" w:space="0"/>
              <w:left w:val="single" w:color="auto" w:sz="4" w:space="0"/>
              <w:bottom w:val="single" w:color="auto" w:sz="4" w:space="0"/>
              <w:right w:val="single" w:color="auto" w:sz="4" w:space="0"/>
            </w:tcBorders>
            <w:vAlign w:val="center"/>
          </w:tcPr>
          <w:p w14:paraId="3D37E1F7">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方法描述</w:t>
            </w:r>
          </w:p>
        </w:tc>
      </w:tr>
      <w:tr w14:paraId="1023E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713" w:type="dxa"/>
            <w:tcBorders>
              <w:top w:val="single" w:color="auto" w:sz="4" w:space="0"/>
              <w:left w:val="single" w:color="auto" w:sz="4" w:space="0"/>
              <w:right w:val="single" w:color="auto" w:sz="4" w:space="0"/>
            </w:tcBorders>
            <w:vAlign w:val="center"/>
          </w:tcPr>
          <w:p w14:paraId="6F94F9A9">
            <w:pPr>
              <w:widowControl/>
              <w:spacing w:line="240" w:lineRule="atLeast"/>
              <w:jc w:val="center"/>
              <w:textAlignment w:val="center"/>
              <w:rPr>
                <w:color w:val="000000" w:themeColor="text1"/>
                <w:sz w:val="21"/>
                <w:szCs w:val="21"/>
                <w14:textFill>
                  <w14:solidFill>
                    <w14:schemeClr w14:val="tx1"/>
                  </w14:solidFill>
                </w14:textFill>
              </w:rPr>
            </w:pPr>
            <w:r>
              <w:rPr>
                <w:rFonts w:hint="eastAsia" w:asciiTheme="majorEastAsia" w:hAnsiTheme="majorEastAsia" w:eastAsiaTheme="majorEastAsia"/>
                <w:b/>
                <w:bCs/>
                <w:sz w:val="21"/>
                <w:szCs w:val="21"/>
                <w:lang w:val="zh-CN"/>
              </w:rPr>
              <w:t>综合实力</w:t>
            </w:r>
          </w:p>
        </w:tc>
        <w:tc>
          <w:tcPr>
            <w:tcW w:w="1167" w:type="dxa"/>
            <w:tcBorders>
              <w:top w:val="single" w:color="auto" w:sz="4" w:space="0"/>
              <w:left w:val="single" w:color="auto" w:sz="4" w:space="0"/>
              <w:right w:val="single" w:color="auto" w:sz="4" w:space="0"/>
            </w:tcBorders>
            <w:vAlign w:val="center"/>
          </w:tcPr>
          <w:p w14:paraId="0182B0DC">
            <w:pPr>
              <w:widowControl/>
              <w:spacing w:line="240" w:lineRule="atLeast"/>
              <w:jc w:val="center"/>
              <w:textAlignment w:val="center"/>
              <w:rPr>
                <w:sz w:val="21"/>
                <w:szCs w:val="21"/>
              </w:rPr>
            </w:pPr>
            <w:r>
              <w:rPr>
                <w:rFonts w:asciiTheme="majorEastAsia" w:hAnsiTheme="majorEastAsia" w:eastAsiaTheme="majorEastAsia"/>
                <w:color w:val="000000"/>
                <w:sz w:val="21"/>
                <w:szCs w:val="21"/>
                <w:lang w:eastAsia="zh-CN"/>
              </w:rPr>
              <w:t>2</w:t>
            </w:r>
          </w:p>
        </w:tc>
        <w:tc>
          <w:tcPr>
            <w:tcW w:w="6620" w:type="dxa"/>
            <w:tcBorders>
              <w:top w:val="single" w:color="auto" w:sz="4" w:space="0"/>
              <w:left w:val="single" w:color="auto" w:sz="4" w:space="0"/>
              <w:bottom w:val="single" w:color="auto" w:sz="4" w:space="0"/>
              <w:right w:val="single" w:color="auto" w:sz="4" w:space="0"/>
            </w:tcBorders>
            <w:vAlign w:val="center"/>
          </w:tcPr>
          <w:p w14:paraId="21E1C169">
            <w:pPr>
              <w:widowControl/>
              <w:spacing w:line="240" w:lineRule="atLeast"/>
              <w:textAlignment w:val="center"/>
              <w:rPr>
                <w:sz w:val="21"/>
                <w:szCs w:val="21"/>
                <w:lang w:eastAsia="zh-CN"/>
              </w:rPr>
            </w:pPr>
            <w:r>
              <w:rPr>
                <w:rFonts w:hint="eastAsia" w:asciiTheme="majorEastAsia" w:hAnsiTheme="majorEastAsia" w:eastAsiaTheme="majorEastAsia"/>
                <w:sz w:val="21"/>
                <w:szCs w:val="21"/>
                <w:lang w:val="zh-CN" w:eastAsia="zh-CN"/>
              </w:rPr>
              <w:t>根据参比人企业概况、企业规模、企业优势、企业的专业性、企业资质、近3年企业获行政主管部门颁发的奖情况等方面情况，由评标委员会进行评议并在0-</w:t>
            </w:r>
            <w:r>
              <w:rPr>
                <w:rFonts w:asciiTheme="majorEastAsia" w:hAnsiTheme="majorEastAsia" w:eastAsiaTheme="majorEastAsia"/>
                <w:sz w:val="21"/>
                <w:szCs w:val="21"/>
                <w:lang w:val="zh-CN" w:eastAsia="zh-CN"/>
              </w:rPr>
              <w:t>2</w:t>
            </w:r>
            <w:r>
              <w:rPr>
                <w:rFonts w:hint="eastAsia" w:asciiTheme="majorEastAsia" w:hAnsiTheme="majorEastAsia" w:eastAsiaTheme="majorEastAsia"/>
                <w:sz w:val="21"/>
                <w:szCs w:val="21"/>
                <w:lang w:val="zh-CN" w:eastAsia="zh-CN"/>
              </w:rPr>
              <w:t>分之间进行评分</w:t>
            </w:r>
          </w:p>
        </w:tc>
      </w:tr>
      <w:tr w14:paraId="4B35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1713" w:type="dxa"/>
            <w:tcBorders>
              <w:left w:val="single" w:color="auto" w:sz="4" w:space="0"/>
              <w:bottom w:val="single" w:color="auto" w:sz="4" w:space="0"/>
              <w:right w:val="single" w:color="auto" w:sz="4" w:space="0"/>
            </w:tcBorders>
            <w:vAlign w:val="center"/>
          </w:tcPr>
          <w:p w14:paraId="16897149">
            <w:pPr>
              <w:widowControl/>
              <w:spacing w:line="240" w:lineRule="atLeast"/>
              <w:jc w:val="center"/>
              <w:textAlignment w:val="center"/>
              <w:rPr>
                <w:bCs/>
                <w:sz w:val="21"/>
                <w:szCs w:val="21"/>
              </w:rPr>
            </w:pPr>
            <w:r>
              <w:rPr>
                <w:rFonts w:cs="Arial" w:asciiTheme="majorEastAsia" w:hAnsiTheme="majorEastAsia" w:eastAsiaTheme="majorEastAsia"/>
                <w:b/>
                <w:bCs/>
                <w:sz w:val="21"/>
                <w:szCs w:val="21"/>
                <w:lang w:val="zh-CN"/>
              </w:rPr>
              <w:t>信誉、财务状况</w:t>
            </w:r>
          </w:p>
        </w:tc>
        <w:tc>
          <w:tcPr>
            <w:tcW w:w="1167" w:type="dxa"/>
            <w:tcBorders>
              <w:left w:val="single" w:color="auto" w:sz="4" w:space="0"/>
              <w:bottom w:val="single" w:color="auto" w:sz="4" w:space="0"/>
              <w:right w:val="single" w:color="auto" w:sz="4" w:space="0"/>
            </w:tcBorders>
            <w:vAlign w:val="center"/>
          </w:tcPr>
          <w:p w14:paraId="1F2101B2">
            <w:pPr>
              <w:widowControl/>
              <w:spacing w:line="240" w:lineRule="atLeast"/>
              <w:jc w:val="center"/>
              <w:textAlignment w:val="center"/>
              <w:rPr>
                <w:sz w:val="21"/>
                <w:szCs w:val="21"/>
              </w:rPr>
            </w:pPr>
            <w:r>
              <w:rPr>
                <w:rFonts w:hint="eastAsia" w:asciiTheme="majorEastAsia" w:hAnsiTheme="majorEastAsia" w:eastAsiaTheme="majorEastAsia"/>
                <w:color w:val="000000"/>
                <w:sz w:val="21"/>
                <w:szCs w:val="21"/>
                <w:lang w:eastAsia="zh-CN"/>
              </w:rPr>
              <w:t>1</w:t>
            </w:r>
          </w:p>
        </w:tc>
        <w:tc>
          <w:tcPr>
            <w:tcW w:w="6620" w:type="dxa"/>
            <w:tcBorders>
              <w:top w:val="single" w:color="auto" w:sz="4" w:space="0"/>
              <w:left w:val="single" w:color="auto" w:sz="4" w:space="0"/>
              <w:bottom w:val="single" w:color="auto" w:sz="4" w:space="0"/>
              <w:right w:val="single" w:color="auto" w:sz="4" w:space="0"/>
            </w:tcBorders>
            <w:vAlign w:val="center"/>
          </w:tcPr>
          <w:p w14:paraId="11A1CBAD">
            <w:pPr>
              <w:spacing w:line="240" w:lineRule="atLeast"/>
              <w:rPr>
                <w:rFonts w:asciiTheme="majorEastAsia" w:hAnsiTheme="majorEastAsia" w:eastAsiaTheme="majorEastAsia"/>
                <w:sz w:val="21"/>
                <w:szCs w:val="21"/>
                <w:lang w:val="zh-CN" w:eastAsia="zh-CN"/>
              </w:rPr>
            </w:pPr>
            <w:r>
              <w:rPr>
                <w:rFonts w:hint="eastAsia" w:cs="Arial" w:asciiTheme="majorEastAsia" w:hAnsiTheme="majorEastAsia" w:eastAsiaTheme="majorEastAsia"/>
                <w:sz w:val="21"/>
                <w:szCs w:val="21"/>
                <w:lang w:val="zh-CN" w:eastAsia="zh-CN"/>
              </w:rPr>
              <w:t>参比人</w:t>
            </w:r>
            <w:r>
              <w:rPr>
                <w:rFonts w:hint="eastAsia" w:asciiTheme="majorEastAsia" w:hAnsiTheme="majorEastAsia" w:eastAsiaTheme="majorEastAsia"/>
                <w:sz w:val="21"/>
                <w:szCs w:val="21"/>
                <w:lang w:eastAsia="zh-CN"/>
              </w:rPr>
              <w:t>近3年财务报表状况、银行资信、</w:t>
            </w:r>
            <w:r>
              <w:rPr>
                <w:rFonts w:cs="Arial" w:asciiTheme="majorEastAsia" w:hAnsiTheme="majorEastAsia" w:eastAsiaTheme="majorEastAsia"/>
                <w:sz w:val="21"/>
                <w:szCs w:val="21"/>
                <w:lang w:val="zh-CN" w:eastAsia="zh-CN"/>
              </w:rPr>
              <w:t>企业信誉（主要是履约信誉）</w:t>
            </w:r>
            <w:r>
              <w:rPr>
                <w:rFonts w:hint="eastAsia" w:asciiTheme="majorEastAsia" w:hAnsiTheme="majorEastAsia" w:eastAsiaTheme="majorEastAsia"/>
                <w:sz w:val="21"/>
                <w:szCs w:val="21"/>
                <w:lang w:eastAsia="zh-CN"/>
              </w:rPr>
              <w:t>等方面情况，由评标委员会进行评议并在0-</w:t>
            </w:r>
            <w:r>
              <w:rPr>
                <w:rFonts w:asciiTheme="majorEastAsia" w:hAnsiTheme="majorEastAsia" w:eastAsiaTheme="majorEastAsia"/>
                <w:sz w:val="21"/>
                <w:szCs w:val="21"/>
                <w:lang w:eastAsia="zh-CN"/>
              </w:rPr>
              <w:t>1</w:t>
            </w:r>
            <w:r>
              <w:rPr>
                <w:rFonts w:hint="eastAsia" w:asciiTheme="majorEastAsia" w:hAnsiTheme="majorEastAsia" w:eastAsiaTheme="majorEastAsia"/>
                <w:sz w:val="21"/>
                <w:szCs w:val="21"/>
                <w:lang w:eastAsia="zh-CN"/>
              </w:rPr>
              <w:t>分之间进行评分。</w:t>
            </w:r>
          </w:p>
          <w:p w14:paraId="3C8C8465">
            <w:pPr>
              <w:widowControl/>
              <w:spacing w:line="240" w:lineRule="atLeast"/>
              <w:textAlignment w:val="center"/>
              <w:rPr>
                <w:sz w:val="21"/>
                <w:szCs w:val="21"/>
                <w:lang w:eastAsia="zh-CN"/>
              </w:rPr>
            </w:pPr>
            <w:r>
              <w:rPr>
                <w:rFonts w:hint="eastAsia" w:cs="Arial" w:asciiTheme="majorEastAsia" w:hAnsiTheme="majorEastAsia" w:eastAsiaTheme="majorEastAsia"/>
                <w:b/>
                <w:bCs/>
                <w:sz w:val="21"/>
                <w:szCs w:val="21"/>
                <w:lang w:val="zh-CN" w:eastAsia="zh-CN"/>
              </w:rPr>
              <w:t>注：</w:t>
            </w:r>
            <w:r>
              <w:rPr>
                <w:rFonts w:hint="eastAsia" w:asciiTheme="majorEastAsia" w:hAnsiTheme="majorEastAsia" w:eastAsiaTheme="majorEastAsia"/>
                <w:b/>
                <w:bCs/>
                <w:sz w:val="21"/>
                <w:szCs w:val="21"/>
                <w:lang w:eastAsia="zh-CN"/>
              </w:rPr>
              <w:t>参比人应在投标文件中附上相关证明材料（如资信证书、重合同守信用证书等）并加盖参比人单位公章。</w:t>
            </w:r>
          </w:p>
        </w:tc>
      </w:tr>
      <w:tr w14:paraId="71B77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6C21AA1F">
            <w:pPr>
              <w:widowControl/>
              <w:spacing w:line="240" w:lineRule="atLeast"/>
              <w:jc w:val="center"/>
              <w:textAlignment w:val="center"/>
              <w:rPr>
                <w:color w:val="000000" w:themeColor="text1"/>
                <w:sz w:val="21"/>
                <w:szCs w:val="21"/>
                <w14:textFill>
                  <w14:solidFill>
                    <w14:schemeClr w14:val="tx1"/>
                  </w14:solidFill>
                </w14:textFill>
              </w:rPr>
            </w:pPr>
            <w:r>
              <w:rPr>
                <w:rFonts w:hint="eastAsia" w:asciiTheme="majorEastAsia" w:hAnsiTheme="majorEastAsia" w:eastAsiaTheme="majorEastAsia"/>
                <w:b/>
                <w:bCs/>
                <w:sz w:val="21"/>
                <w:szCs w:val="21"/>
              </w:rPr>
              <w:t>类似项目业绩</w:t>
            </w:r>
          </w:p>
        </w:tc>
        <w:tc>
          <w:tcPr>
            <w:tcW w:w="1167" w:type="dxa"/>
            <w:tcBorders>
              <w:top w:val="single" w:color="auto" w:sz="4" w:space="0"/>
              <w:left w:val="single" w:color="auto" w:sz="4" w:space="0"/>
              <w:bottom w:val="single" w:color="auto" w:sz="4" w:space="0"/>
              <w:right w:val="single" w:color="auto" w:sz="4" w:space="0"/>
            </w:tcBorders>
            <w:vAlign w:val="center"/>
          </w:tcPr>
          <w:p w14:paraId="3B626162">
            <w:pPr>
              <w:widowControl/>
              <w:spacing w:line="240" w:lineRule="atLeast"/>
              <w:jc w:val="center"/>
              <w:textAlignment w:val="center"/>
              <w:rPr>
                <w:bCs/>
                <w:sz w:val="21"/>
                <w:szCs w:val="21"/>
              </w:rPr>
            </w:pPr>
            <w:r>
              <w:rPr>
                <w:rFonts w:asciiTheme="majorEastAsia" w:hAnsiTheme="majorEastAsia" w:eastAsiaTheme="majorEastAsia"/>
                <w:color w:val="000000"/>
                <w:sz w:val="21"/>
                <w:szCs w:val="21"/>
                <w:lang w:eastAsia="zh-CN"/>
              </w:rPr>
              <w:t>7</w:t>
            </w:r>
          </w:p>
        </w:tc>
        <w:tc>
          <w:tcPr>
            <w:tcW w:w="6620" w:type="dxa"/>
            <w:tcBorders>
              <w:top w:val="single" w:color="auto" w:sz="4" w:space="0"/>
              <w:left w:val="single" w:color="auto" w:sz="4" w:space="0"/>
              <w:bottom w:val="single" w:color="auto" w:sz="4" w:space="0"/>
              <w:right w:val="single" w:color="auto" w:sz="4" w:space="0"/>
            </w:tcBorders>
            <w:vAlign w:val="center"/>
          </w:tcPr>
          <w:p w14:paraId="0720256F">
            <w:pPr>
              <w:widowControl/>
              <w:spacing w:line="240" w:lineRule="atLeast"/>
              <w:textAlignment w:val="center"/>
              <w:rPr>
                <w:bCs/>
                <w:sz w:val="21"/>
                <w:szCs w:val="21"/>
                <w:lang w:eastAsia="zh-CN"/>
              </w:rPr>
            </w:pPr>
            <w:r>
              <w:rPr>
                <w:rFonts w:hint="eastAsia" w:asciiTheme="majorEastAsia" w:hAnsiTheme="majorEastAsia" w:eastAsiaTheme="majorEastAsia"/>
                <w:sz w:val="21"/>
                <w:szCs w:val="21"/>
                <w:highlight w:val="none"/>
                <w:lang w:eastAsia="zh-CN"/>
              </w:rPr>
              <w:t>近3年完成同类的项目业绩（至少有一家石油化工行业项目的消防安全评估业绩，得3分），每增加一个石油化工行业项目的消防安全评估业绩合同的增加2分，其他合同的增加1分，</w:t>
            </w:r>
            <w:r>
              <w:rPr>
                <w:rFonts w:hint="eastAsia" w:asciiTheme="majorEastAsia" w:hAnsiTheme="majorEastAsia" w:eastAsiaTheme="majorEastAsia"/>
                <w:sz w:val="21"/>
                <w:szCs w:val="21"/>
                <w:highlight w:val="none"/>
                <w:lang w:val="en-US" w:eastAsia="zh-CN"/>
              </w:rPr>
              <w:t>满分</w:t>
            </w:r>
            <w:r>
              <w:rPr>
                <w:rFonts w:asciiTheme="majorEastAsia" w:hAnsiTheme="majorEastAsia" w:eastAsiaTheme="majorEastAsia"/>
                <w:sz w:val="21"/>
                <w:szCs w:val="21"/>
                <w:highlight w:val="none"/>
                <w:lang w:eastAsia="zh-CN"/>
              </w:rPr>
              <w:t>7</w:t>
            </w:r>
            <w:r>
              <w:rPr>
                <w:rFonts w:hint="eastAsia" w:asciiTheme="majorEastAsia" w:hAnsiTheme="majorEastAsia" w:eastAsiaTheme="majorEastAsia"/>
                <w:sz w:val="21"/>
                <w:szCs w:val="21"/>
                <w:highlight w:val="none"/>
                <w:lang w:eastAsia="zh-CN"/>
              </w:rPr>
              <w:t>分。</w:t>
            </w:r>
          </w:p>
        </w:tc>
      </w:tr>
      <w:bookmarkEnd w:id="20"/>
    </w:tbl>
    <w:p w14:paraId="6642AFD9">
      <w:pPr>
        <w:spacing w:line="360" w:lineRule="auto"/>
        <w:ind w:firstLine="420" w:firstLineChars="200"/>
        <w:rPr>
          <w:snapToGrid w:val="0"/>
          <w:color w:val="000000" w:themeColor="text1"/>
          <w:sz w:val="21"/>
          <w:szCs w:val="21"/>
          <w:lang w:eastAsia="zh-CN"/>
          <w14:textFill>
            <w14:solidFill>
              <w14:schemeClr w14:val="tx1"/>
            </w14:solidFill>
          </w14:textFill>
        </w:rPr>
      </w:pPr>
      <w:r>
        <w:rPr>
          <w:rFonts w:hint="eastAsia"/>
          <w:sz w:val="21"/>
          <w:szCs w:val="21"/>
          <w:lang w:eastAsia="zh-CN"/>
        </w:rPr>
        <w:t>（五）报价评分（满分70分）</w:t>
      </w:r>
    </w:p>
    <w:tbl>
      <w:tblPr>
        <w:tblStyle w:val="46"/>
        <w:tblW w:w="9356" w:type="dxa"/>
        <w:tblInd w:w="14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8"/>
        <w:gridCol w:w="1417"/>
        <w:gridCol w:w="6521"/>
      </w:tblGrid>
      <w:tr w14:paraId="06957E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1418" w:type="dxa"/>
            <w:tcBorders>
              <w:top w:val="single" w:color="000000" w:sz="4" w:space="0"/>
              <w:left w:val="single" w:color="000000" w:sz="4" w:space="0"/>
              <w:right w:val="single" w:color="000000" w:sz="4" w:space="0"/>
            </w:tcBorders>
            <w:vAlign w:val="center"/>
          </w:tcPr>
          <w:p w14:paraId="6621975C">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项目</w:t>
            </w:r>
          </w:p>
        </w:tc>
        <w:tc>
          <w:tcPr>
            <w:tcW w:w="1417" w:type="dxa"/>
            <w:tcBorders>
              <w:top w:val="single" w:color="000000" w:sz="4" w:space="0"/>
              <w:left w:val="single" w:color="000000" w:sz="4" w:space="0"/>
              <w:bottom w:val="single" w:color="000000" w:sz="4" w:space="0"/>
              <w:right w:val="single" w:color="000000" w:sz="4" w:space="0"/>
            </w:tcBorders>
            <w:vAlign w:val="center"/>
          </w:tcPr>
          <w:p w14:paraId="48700D02">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分值</w:t>
            </w:r>
          </w:p>
        </w:tc>
        <w:tc>
          <w:tcPr>
            <w:tcW w:w="6521" w:type="dxa"/>
            <w:tcBorders>
              <w:top w:val="single" w:color="000000" w:sz="4" w:space="0"/>
              <w:left w:val="single" w:color="000000" w:sz="4" w:space="0"/>
              <w:right w:val="single" w:color="000000" w:sz="4" w:space="0"/>
            </w:tcBorders>
            <w:vAlign w:val="center"/>
          </w:tcPr>
          <w:p w14:paraId="63250B51">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评</w:t>
            </w:r>
            <w:r>
              <w:rPr>
                <w:rFonts w:hint="eastAsia"/>
                <w:color w:val="000000" w:themeColor="text1"/>
                <w:sz w:val="21"/>
                <w:szCs w:val="21"/>
                <w:lang w:eastAsia="zh-CN"/>
                <w14:textFill>
                  <w14:solidFill>
                    <w14:schemeClr w14:val="tx1"/>
                  </w14:solidFill>
                </w14:textFill>
              </w:rPr>
              <w:t>选</w:t>
            </w:r>
            <w:r>
              <w:rPr>
                <w:rFonts w:hint="eastAsia"/>
                <w:color w:val="000000" w:themeColor="text1"/>
                <w:sz w:val="21"/>
                <w:szCs w:val="21"/>
                <w14:textFill>
                  <w14:solidFill>
                    <w14:schemeClr w14:val="tx1"/>
                  </w14:solidFill>
                </w14:textFill>
              </w:rPr>
              <w:t>方法描述</w:t>
            </w:r>
          </w:p>
        </w:tc>
      </w:tr>
      <w:tr w14:paraId="72DF7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 w:hRule="atLeast"/>
        </w:trPr>
        <w:tc>
          <w:tcPr>
            <w:tcW w:w="1418" w:type="dxa"/>
            <w:tcBorders>
              <w:left w:val="single" w:color="000000" w:sz="4" w:space="0"/>
              <w:bottom w:val="single" w:color="000000" w:sz="4" w:space="0"/>
              <w:right w:val="single" w:color="000000" w:sz="4" w:space="0"/>
            </w:tcBorders>
            <w:vAlign w:val="center"/>
          </w:tcPr>
          <w:p w14:paraId="4F670CFD">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报价</w:t>
            </w:r>
          </w:p>
        </w:tc>
        <w:tc>
          <w:tcPr>
            <w:tcW w:w="1417" w:type="dxa"/>
            <w:tcBorders>
              <w:top w:val="single" w:color="000000" w:sz="4" w:space="0"/>
              <w:left w:val="single" w:color="000000" w:sz="4" w:space="0"/>
              <w:bottom w:val="single" w:color="000000" w:sz="4" w:space="0"/>
              <w:right w:val="single" w:color="000000" w:sz="4" w:space="0"/>
            </w:tcBorders>
            <w:vAlign w:val="center"/>
          </w:tcPr>
          <w:p w14:paraId="48B0B74B">
            <w:pPr>
              <w:spacing w:line="360" w:lineRule="auto"/>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70</w:t>
            </w:r>
          </w:p>
        </w:tc>
        <w:tc>
          <w:tcPr>
            <w:tcW w:w="6521" w:type="dxa"/>
            <w:tcBorders>
              <w:left w:val="single" w:color="000000" w:sz="4" w:space="0"/>
              <w:bottom w:val="single" w:color="000000" w:sz="4" w:space="0"/>
              <w:right w:val="single" w:color="000000" w:sz="4" w:space="0"/>
            </w:tcBorders>
            <w:vAlign w:val="center"/>
          </w:tcPr>
          <w:p w14:paraId="7183DA9E">
            <w:pPr>
              <w:spacing w:line="240" w:lineRule="atLeast"/>
              <w:rPr>
                <w:rFonts w:asciiTheme="majorEastAsia" w:hAnsiTheme="majorEastAsia" w:eastAsiaTheme="majorEastAsia"/>
                <w:sz w:val="21"/>
                <w:szCs w:val="21"/>
                <w:lang w:eastAsia="zh-CN"/>
              </w:rPr>
            </w:pPr>
            <w:r>
              <w:rPr>
                <w:rFonts w:asciiTheme="majorEastAsia" w:hAnsiTheme="majorEastAsia" w:eastAsiaTheme="majorEastAsia"/>
                <w:sz w:val="21"/>
                <w:szCs w:val="21"/>
                <w:lang w:eastAsia="zh-CN"/>
              </w:rPr>
              <w:t>价格得分=( F低/ Fn)×</w:t>
            </w:r>
            <w:r>
              <w:rPr>
                <w:rFonts w:hint="eastAsia" w:asciiTheme="majorEastAsia" w:hAnsiTheme="majorEastAsia" w:eastAsiaTheme="majorEastAsia"/>
                <w:sz w:val="21"/>
                <w:szCs w:val="21"/>
                <w:lang w:eastAsia="zh-CN"/>
              </w:rPr>
              <w:t>70</w:t>
            </w:r>
          </w:p>
          <w:p w14:paraId="680E7C72">
            <w:pPr>
              <w:spacing w:line="240" w:lineRule="atLeast"/>
              <w:rPr>
                <w:rFonts w:asciiTheme="majorEastAsia" w:hAnsiTheme="majorEastAsia" w:eastAsiaTheme="majorEastAsia"/>
                <w:sz w:val="21"/>
                <w:szCs w:val="21"/>
                <w:lang w:eastAsia="zh-CN"/>
              </w:rPr>
            </w:pPr>
            <w:r>
              <w:rPr>
                <w:rFonts w:asciiTheme="majorEastAsia" w:hAnsiTheme="majorEastAsia" w:eastAsiaTheme="majorEastAsia"/>
                <w:sz w:val="21"/>
                <w:szCs w:val="21"/>
                <w:lang w:eastAsia="zh-CN"/>
              </w:rPr>
              <w:t>式中：①F低为评标基准价=进入报价部分评分的各合格</w:t>
            </w:r>
            <w:r>
              <w:rPr>
                <w:rFonts w:hint="eastAsia" w:asciiTheme="majorEastAsia" w:hAnsiTheme="majorEastAsia" w:eastAsiaTheme="majorEastAsia"/>
                <w:sz w:val="21"/>
                <w:szCs w:val="21"/>
                <w:lang w:eastAsia="zh-CN"/>
              </w:rPr>
              <w:t>参比人</w:t>
            </w:r>
            <w:r>
              <w:rPr>
                <w:rFonts w:asciiTheme="majorEastAsia" w:hAnsiTheme="majorEastAsia" w:eastAsiaTheme="majorEastAsia"/>
                <w:sz w:val="21"/>
                <w:szCs w:val="21"/>
                <w:lang w:eastAsia="zh-CN"/>
              </w:rPr>
              <w:t>中最低的报价评标价。</w:t>
            </w:r>
          </w:p>
          <w:p w14:paraId="010B81C8">
            <w:pPr>
              <w:widowControl/>
              <w:spacing w:line="240" w:lineRule="atLeast"/>
              <w:textAlignment w:val="center"/>
              <w:rPr>
                <w:rStyle w:val="202"/>
                <w:rFonts w:hint="default" w:asciiTheme="majorEastAsia" w:hAnsiTheme="majorEastAsia" w:eastAsiaTheme="majorEastAsia"/>
                <w:sz w:val="21"/>
                <w:szCs w:val="21"/>
                <w:lang w:eastAsia="zh-CN"/>
              </w:rPr>
            </w:pPr>
            <w:r>
              <w:rPr>
                <w:rFonts w:asciiTheme="majorEastAsia" w:hAnsiTheme="majorEastAsia" w:eastAsiaTheme="majorEastAsia"/>
                <w:sz w:val="21"/>
                <w:szCs w:val="21"/>
                <w:lang w:eastAsia="zh-CN"/>
              </w:rPr>
              <w:t>②Fn为进入报价部分评分的各合格</w:t>
            </w:r>
            <w:r>
              <w:rPr>
                <w:rFonts w:hint="eastAsia" w:asciiTheme="majorEastAsia" w:hAnsiTheme="majorEastAsia" w:eastAsiaTheme="majorEastAsia"/>
                <w:sz w:val="21"/>
                <w:szCs w:val="21"/>
                <w:lang w:eastAsia="zh-CN"/>
              </w:rPr>
              <w:t>参比人</w:t>
            </w:r>
            <w:r>
              <w:rPr>
                <w:rFonts w:asciiTheme="majorEastAsia" w:hAnsiTheme="majorEastAsia" w:eastAsiaTheme="majorEastAsia"/>
                <w:sz w:val="21"/>
                <w:szCs w:val="21"/>
                <w:lang w:eastAsia="zh-CN"/>
              </w:rPr>
              <w:t>的报价评标价。</w:t>
            </w:r>
          </w:p>
          <w:p w14:paraId="1A4922BF">
            <w:pPr>
              <w:spacing w:line="360" w:lineRule="auto"/>
              <w:rPr>
                <w:color w:val="000000" w:themeColor="text1"/>
                <w:sz w:val="21"/>
                <w:szCs w:val="21"/>
                <w:lang w:eastAsia="zh-CN"/>
                <w14:textFill>
                  <w14:solidFill>
                    <w14:schemeClr w14:val="tx1"/>
                  </w14:solidFill>
                </w14:textFill>
              </w:rPr>
            </w:pPr>
            <w:r>
              <w:rPr>
                <w:rFonts w:hint="eastAsia" w:asciiTheme="majorEastAsia" w:hAnsiTheme="majorEastAsia" w:eastAsiaTheme="majorEastAsia"/>
                <w:b/>
                <w:bCs/>
                <w:sz w:val="21"/>
                <w:szCs w:val="21"/>
                <w:u w:val="double"/>
                <w:lang w:eastAsia="zh-CN"/>
              </w:rPr>
              <w:t>注：若参比人的报价明显低于其他参选报价，使得其参选报价可能低于其个别成本的，参比人应按要求作出书面说明并提供相关证明材料。参比人不能合理说明或不能提供相关证明材料的，由评标委员会认定该参比人以低于成本报价竞标，其参选将被否决。</w:t>
            </w:r>
          </w:p>
        </w:tc>
      </w:tr>
    </w:tbl>
    <w:p w14:paraId="1B098D81">
      <w:pPr>
        <w:pStyle w:val="45"/>
        <w:tabs>
          <w:tab w:val="left" w:pos="0"/>
          <w:tab w:val="left" w:pos="993"/>
          <w:tab w:val="left" w:pos="1134"/>
        </w:tabs>
        <w:spacing w:line="500" w:lineRule="exact"/>
        <w:ind w:left="0" w:leftChars="0" w:firstLine="0" w:firstLineChars="0"/>
        <w:rPr>
          <w:b/>
          <w:sz w:val="21"/>
          <w:szCs w:val="21"/>
          <w:lang w:eastAsia="zh-CN"/>
        </w:rPr>
      </w:pPr>
      <w:r>
        <w:rPr>
          <w:rFonts w:hint="eastAsia"/>
          <w:b/>
          <w:sz w:val="21"/>
          <w:szCs w:val="21"/>
          <w:lang w:eastAsia="zh-CN"/>
        </w:rPr>
        <w:t>七、项目控制价</w:t>
      </w:r>
    </w:p>
    <w:p w14:paraId="418AED21">
      <w:pPr>
        <w:widowControl/>
        <w:spacing w:line="312" w:lineRule="auto"/>
        <w:ind w:firstLine="420" w:firstLineChars="200"/>
        <w:rPr>
          <w:sz w:val="21"/>
          <w:szCs w:val="21"/>
          <w:lang w:eastAsia="zh-CN"/>
        </w:rPr>
      </w:pPr>
      <w:r>
        <w:rPr>
          <w:rFonts w:hint="eastAsia"/>
          <w:sz w:val="21"/>
          <w:szCs w:val="21"/>
          <w:lang w:eastAsia="zh-CN"/>
        </w:rPr>
        <w:t>本项目控制总价为18万元（含税），需以福建福海创石油化工有限公司、腾龙芳烃（漳州）有限公司两家公司分别报价，控制价分别为12万元、6万元。投标人所填报的投标价高于控制价，视为未实质性响应询比文件要求，作无效询比文件处理。</w:t>
      </w:r>
    </w:p>
    <w:p w14:paraId="36EE7539">
      <w:pPr>
        <w:widowControl/>
        <w:spacing w:line="312" w:lineRule="auto"/>
        <w:rPr>
          <w:b/>
          <w:sz w:val="21"/>
          <w:szCs w:val="21"/>
          <w:lang w:eastAsia="zh-CN"/>
        </w:rPr>
      </w:pPr>
      <w:r>
        <w:rPr>
          <w:rFonts w:hint="eastAsia"/>
          <w:b/>
          <w:sz w:val="21"/>
          <w:szCs w:val="21"/>
          <w:lang w:eastAsia="zh-CN"/>
        </w:rPr>
        <w:t>八、附件</w:t>
      </w:r>
      <w:r>
        <w:rPr>
          <w:rFonts w:hint="eastAsia"/>
          <w:sz w:val="21"/>
          <w:szCs w:val="21"/>
          <w:lang w:eastAsia="zh-CN"/>
        </w:rPr>
        <w:t>（报名成功后，可邮件提供）</w:t>
      </w:r>
    </w:p>
    <w:p w14:paraId="3C0D6ECC">
      <w:pPr>
        <w:spacing w:line="312" w:lineRule="auto"/>
        <w:ind w:firstLine="420" w:firstLineChars="200"/>
        <w:rPr>
          <w:sz w:val="21"/>
          <w:szCs w:val="21"/>
          <w:lang w:eastAsia="zh-CN"/>
        </w:rPr>
      </w:pPr>
      <w:r>
        <w:rPr>
          <w:rFonts w:hint="eastAsia"/>
          <w:sz w:val="21"/>
          <w:szCs w:val="21"/>
          <w:lang w:eastAsia="zh-CN"/>
        </w:rPr>
        <w:t>附件1：福海创平面布置图</w:t>
      </w:r>
    </w:p>
    <w:p w14:paraId="1EB60A94">
      <w:pPr>
        <w:spacing w:line="312" w:lineRule="auto"/>
        <w:ind w:firstLine="420" w:firstLineChars="200"/>
        <w:rPr>
          <w:sz w:val="21"/>
          <w:szCs w:val="21"/>
          <w:lang w:eastAsia="zh-CN"/>
        </w:rPr>
      </w:pPr>
      <w:r>
        <w:rPr>
          <w:rFonts w:hint="eastAsia"/>
          <w:sz w:val="21"/>
          <w:szCs w:val="21"/>
          <w:lang w:eastAsia="zh-CN"/>
        </w:rPr>
        <w:t>附件2：福海创及腾龙芳烃平面布置图</w:t>
      </w:r>
    </w:p>
    <w:p w14:paraId="586B9B7D">
      <w:pPr>
        <w:pStyle w:val="54"/>
        <w:adjustRightInd/>
        <w:spacing w:line="360" w:lineRule="auto"/>
        <w:rPr>
          <w:rFonts w:hAnsi="宋体" w:cs="宋体"/>
          <w:b/>
          <w:sz w:val="28"/>
          <w:szCs w:val="28"/>
        </w:rPr>
      </w:pPr>
    </w:p>
    <w:p w14:paraId="3AF49BA4">
      <w:pPr>
        <w:pStyle w:val="54"/>
        <w:adjustRightInd/>
        <w:spacing w:line="360" w:lineRule="auto"/>
        <w:rPr>
          <w:rFonts w:hAnsi="宋体" w:cs="宋体"/>
          <w:b/>
          <w:sz w:val="28"/>
          <w:szCs w:val="28"/>
        </w:rPr>
      </w:pPr>
    </w:p>
    <w:p w14:paraId="0E72D53F">
      <w:pPr>
        <w:pStyle w:val="54"/>
        <w:adjustRightInd/>
        <w:spacing w:line="360" w:lineRule="auto"/>
        <w:rPr>
          <w:rFonts w:asciiTheme="majorEastAsia" w:hAnsiTheme="majorEastAsia" w:eastAsiaTheme="majorEastAsia"/>
          <w:b/>
          <w:bCs/>
          <w:sz w:val="22"/>
        </w:rPr>
      </w:pPr>
      <w:r>
        <w:rPr>
          <w:rFonts w:hAnsi="宋体" w:cs="宋体"/>
          <w:b/>
          <w:sz w:val="28"/>
          <w:szCs w:val="28"/>
        </w:rPr>
        <w:t>附件</w:t>
      </w:r>
      <w:r>
        <w:rPr>
          <w:rFonts w:hint="eastAsia" w:hAnsi="宋体" w:cs="宋体"/>
          <w:b/>
          <w:sz w:val="28"/>
          <w:szCs w:val="28"/>
        </w:rPr>
        <w:t>2：</w:t>
      </w:r>
      <w:bookmarkEnd w:id="17"/>
      <w:bookmarkEnd w:id="18"/>
    </w:p>
    <w:p w14:paraId="316153DD">
      <w:pPr>
        <w:pStyle w:val="24"/>
        <w:spacing w:line="240" w:lineRule="atLeast"/>
        <w:ind w:left="250" w:hanging="250" w:hangingChars="89"/>
        <w:jc w:val="center"/>
        <w:rPr>
          <w:rFonts w:ascii="黑体" w:hAnsi="宋体" w:eastAsia="黑体"/>
          <w:b/>
          <w:sz w:val="28"/>
          <w:szCs w:val="28"/>
          <w:lang w:eastAsia="zh-CN"/>
        </w:rPr>
      </w:pPr>
      <w:r>
        <w:rPr>
          <w:rFonts w:hint="eastAsia" w:ascii="黑体" w:hAnsi="宋体" w:eastAsia="黑体"/>
          <w:b/>
          <w:sz w:val="28"/>
          <w:szCs w:val="28"/>
          <w:lang w:eastAsia="zh-CN"/>
        </w:rPr>
        <w:t>安全环保协议书</w:t>
      </w:r>
    </w:p>
    <w:p w14:paraId="2431026F">
      <w:pPr>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发包单位（以下简称甲方）：</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 xml:space="preserve">   </w:t>
      </w:r>
    </w:p>
    <w:p w14:paraId="49D818A9">
      <w:pPr>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承包单位（以下简称乙方）：</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 xml:space="preserve">                      </w:t>
      </w:r>
    </w:p>
    <w:p w14:paraId="4E3875C6">
      <w:pPr>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 xml:space="preserve">     双方就</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工程/项目签订了</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合同，为进一步明确甲乙双方在工程承包合同履行过程中的权利和义务及责任，保障人身安全和企业财产安全，依据《中华人民共和国安全生产法》、《中华人民共和国环境保护法》等相关法规及福建福海创石油化工有限公司HSE管理制度，经双方协商，双方自愿签订本安全环保协议，作为主合同的附件。</w:t>
      </w:r>
    </w:p>
    <w:p w14:paraId="3B9B236F">
      <w:pPr>
        <w:spacing w:line="276" w:lineRule="auto"/>
        <w:ind w:left="188" w:hanging="188" w:hangingChars="89"/>
        <w:rPr>
          <w:rFonts w:asciiTheme="majorEastAsia" w:hAnsiTheme="majorEastAsia" w:eastAsiaTheme="majorEastAsia"/>
          <w:sz w:val="21"/>
          <w:szCs w:val="21"/>
          <w:lang w:eastAsia="zh-CN"/>
        </w:rPr>
      </w:pPr>
      <w:r>
        <w:rPr>
          <w:rFonts w:hint="eastAsia" w:asciiTheme="majorEastAsia" w:hAnsiTheme="majorEastAsia" w:eastAsiaTheme="majorEastAsia"/>
          <w:b/>
          <w:sz w:val="21"/>
          <w:szCs w:val="21"/>
          <w:lang w:eastAsia="zh-CN"/>
        </w:rPr>
        <w:t>一、甲方的权利和义务：</w:t>
      </w:r>
    </w:p>
    <w:p w14:paraId="5F98E613">
      <w:pPr>
        <w:spacing w:line="276" w:lineRule="auto"/>
        <w:ind w:left="359" w:hanging="359" w:hangingChars="17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1、甲方有权对乙方的资质进行审查，确认其符合且具备进厂条件，方可进厂施工。</w:t>
      </w:r>
    </w:p>
    <w:p w14:paraId="349F293A">
      <w:pPr>
        <w:spacing w:line="276" w:lineRule="auto"/>
        <w:ind w:left="359" w:hanging="359" w:hangingChars="17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2、甲方有权要求乙方维护好甲方相关的安全环保设施、设备和器材。</w:t>
      </w:r>
    </w:p>
    <w:p w14:paraId="0C82C788">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3、甲方有权全程检查乙方施工作业现场，对乙方人员在施工作业中违反有关安全生产规章制度的行为予以制止、纠正和处罚，并发出书面整改通知书；对严重违章的行为立即勒令其停止工作。</w:t>
      </w:r>
    </w:p>
    <w:p w14:paraId="4538AA22">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4、甲方有权要求乙方制定施工方案，对危险性较大的分项工程，乙方必须制定专项安全环保施工方案，明确组织措施、安全环保措施、技术措施，经甲方各相关管理部门审查合格后方可进行施工作业。</w:t>
      </w:r>
    </w:p>
    <w:p w14:paraId="36C0E3A4">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5、甲方有权对乙方不服从管理和严重违章者，驱逐出施工现场，列入黑名单。</w:t>
      </w:r>
    </w:p>
    <w:p w14:paraId="4A9CD07F">
      <w:pPr>
        <w:spacing w:line="276" w:lineRule="auto"/>
        <w:ind w:left="359" w:hanging="359" w:hangingChars="171"/>
        <w:rPr>
          <w:rFonts w:asciiTheme="majorEastAsia" w:hAnsiTheme="majorEastAsia" w:eastAsiaTheme="majorEastAsia"/>
          <w:b/>
          <w:sz w:val="21"/>
          <w:szCs w:val="21"/>
          <w:lang w:eastAsia="zh-CN"/>
        </w:rPr>
      </w:pPr>
      <w:r>
        <w:rPr>
          <w:rFonts w:hint="eastAsia" w:asciiTheme="majorEastAsia" w:hAnsiTheme="majorEastAsia" w:eastAsiaTheme="majorEastAsia"/>
          <w:sz w:val="21"/>
          <w:szCs w:val="21"/>
          <w:lang w:eastAsia="zh-CN"/>
        </w:rPr>
        <w:t>6、甲方负责对乙方进行厂级和部门级安全培训教育和考核，考核合格方可办理入厂手续。</w:t>
      </w:r>
    </w:p>
    <w:p w14:paraId="2EA3FD3E">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7、甲方负责各装置的工艺处理、退料、置换、吹扫及盲板隔离工作，为本项目提供安全的施工条件。</w:t>
      </w:r>
    </w:p>
    <w:p w14:paraId="0633092D">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8 甲方应向乙方提供与乙方作业相关的甲方有毒有害、易燃易爆物品的数据。</w:t>
      </w:r>
    </w:p>
    <w:p w14:paraId="3D3B179D">
      <w:pPr>
        <w:tabs>
          <w:tab w:val="left" w:pos="360"/>
          <w:tab w:val="left" w:pos="840"/>
        </w:tabs>
        <w:spacing w:line="276" w:lineRule="auto"/>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9 甲方在开工前必须对乙方进行全面的安全技术及文明施工交底。</w:t>
      </w:r>
    </w:p>
    <w:p w14:paraId="7151255B">
      <w:pPr>
        <w:spacing w:line="276" w:lineRule="auto"/>
        <w:ind w:left="188" w:hanging="188" w:hangingChars="89"/>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二、乙方的权利和义务：</w:t>
      </w:r>
    </w:p>
    <w:p w14:paraId="2779DA93">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乙方必须严格执行国家有关安全生产的方针、政策、法令、法规，遵守国家、行业及甲方各项HSE管理制度。现场施工作业时按照甲方的各项HSE管理制度等规定办理作业许可证，服从甲方的监督管理。对甲方检查提出的安全整改通知，必须按照甲方要求及时整改。</w:t>
      </w:r>
    </w:p>
    <w:p w14:paraId="780F3BBC">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2、乙方有权对甲方安全管理工作提出合理化建议或改进措施。</w:t>
      </w:r>
    </w:p>
    <w:p w14:paraId="05BEBEB9">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 xml:space="preserve">3、乙方对甲方管理人员违章指挥、强令冒险作业、有权拒绝执行。对打击和报复行为有权向上级和有关部门汇报。 </w:t>
      </w:r>
    </w:p>
    <w:p w14:paraId="42901CBF">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4、乙方对危及生命安全和身体健康的施工作业条件和环境，有权提出整改建议或拒绝施工作业。</w:t>
      </w:r>
    </w:p>
    <w:p w14:paraId="47F4354D">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5、乙方施工过程中在发生严重危及作业人员生命安全的不可抗拒紧急情况时，有权采取必要的避险措施，并立即向管理部门报告。</w:t>
      </w:r>
    </w:p>
    <w:p w14:paraId="1C27D4D8">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6、乙方有权要求甲方提供与其工作相关的安全资料，如八大票证管理制度等。</w:t>
      </w:r>
    </w:p>
    <w:p w14:paraId="6E283204">
      <w:pPr>
        <w:spacing w:line="276" w:lineRule="auto"/>
        <w:ind w:left="338" w:hanging="338" w:hangingChars="161"/>
        <w:rPr>
          <w:rFonts w:asciiTheme="majorEastAsia" w:hAnsiTheme="majorEastAsia" w:eastAsiaTheme="majorEastAsia"/>
          <w:b/>
          <w:sz w:val="21"/>
          <w:szCs w:val="21"/>
          <w:lang w:eastAsia="zh-CN"/>
        </w:rPr>
      </w:pPr>
      <w:r>
        <w:rPr>
          <w:rFonts w:hint="eastAsia" w:asciiTheme="majorEastAsia" w:hAnsiTheme="majorEastAsia" w:eastAsiaTheme="majorEastAsia"/>
          <w:sz w:val="21"/>
          <w:szCs w:val="21"/>
          <w:lang w:eastAsia="zh-CN"/>
        </w:rPr>
        <w:t>7、</w:t>
      </w:r>
      <w:r>
        <w:rPr>
          <w:rFonts w:hint="eastAsia" w:cs="Arial" w:asciiTheme="majorEastAsia" w:hAnsiTheme="majorEastAsia" w:eastAsiaTheme="majorEastAsia"/>
          <w:sz w:val="21"/>
          <w:szCs w:val="21"/>
          <w:lang w:eastAsia="zh-CN"/>
        </w:rPr>
        <w:t>乙方必须建立健全HSE管理网络、HSE保证体系和HSE责任制，成立专职HSE管理机构</w:t>
      </w:r>
      <w:r>
        <w:rPr>
          <w:rFonts w:hint="eastAsia" w:asciiTheme="majorEastAsia" w:hAnsiTheme="majorEastAsia" w:eastAsiaTheme="majorEastAsia"/>
          <w:sz w:val="21"/>
          <w:szCs w:val="21"/>
          <w:lang w:eastAsia="zh-CN"/>
        </w:rPr>
        <w:t>，依照《安全生产法》的要求配备专职或兼职安全生产管理人员，安全管理人员配备比例不等小于5</w:t>
      </w:r>
      <w:r>
        <w:rPr>
          <w:rFonts w:asciiTheme="majorEastAsia" w:hAnsiTheme="majorEastAsia" w:eastAsiaTheme="majorEastAsia"/>
          <w:sz w:val="21"/>
          <w:szCs w:val="21"/>
          <w:lang w:eastAsia="zh-CN"/>
        </w:rPr>
        <w:t>0</w:t>
      </w:r>
      <w:r>
        <w:rPr>
          <w:rFonts w:hint="eastAsia" w:asciiTheme="majorEastAsia" w:hAnsiTheme="majorEastAsia" w:eastAsiaTheme="majorEastAsia"/>
          <w:sz w:val="21"/>
          <w:szCs w:val="21"/>
          <w:lang w:eastAsia="zh-CN"/>
        </w:rPr>
        <w:t>比1（最少1名），</w:t>
      </w:r>
      <w:r>
        <w:rPr>
          <w:rFonts w:hint="eastAsia" w:cs="Arial" w:asciiTheme="majorEastAsia" w:hAnsiTheme="majorEastAsia" w:eastAsiaTheme="majorEastAsia"/>
          <w:sz w:val="21"/>
          <w:szCs w:val="21"/>
          <w:lang w:eastAsia="zh-CN"/>
        </w:rPr>
        <w:t>并佩戴明显标志；编制和实施各安全环保施工方案和专项应急预案。</w:t>
      </w:r>
    </w:p>
    <w:p w14:paraId="2B001547">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8、乙方必须按照国家安全生产的要求及甲方的HSE管理制度的要求提供相关资料，接受安全资质和条件审查，签订安全承诺书等。人员和机动车辆入厂必需按甲方HSE管理制度办理入场证。特种作业人员必需持证上岗。</w:t>
      </w:r>
    </w:p>
    <w:p w14:paraId="07E68EA1">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9、在工程开工前，乙方必须对全体人员（含监护人）分工种进行安全教育、技能考试，合格后方可进行作业。作业前，必须向作业人员进行安全环保技术交底，掌握工程特点及施工安全环保措施。</w:t>
      </w:r>
    </w:p>
    <w:p w14:paraId="7D2ECD42">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10、乙方开工前应对施工机械、工器具及安全防护设施进行检查，确保符合安全规定并不超过检验周期。 乙方施工人员应对所在的施工区域、作业环境、操作设施、设备、工器具等进行认真检查，发现隐患立即停止施工，并经落实整改后方准继续施工。在施工期间所使用的各种设备及工用器具等均应符合施工要求。同时乙方应遵守相关法规，根据作业现场的实际需要，设置各类安全防护设施、遮栏、安全标志牌、警告牌等。</w:t>
      </w:r>
    </w:p>
    <w:p w14:paraId="36C623A7">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11、乙方必须按国家有关规定，为施工人员办理工伤保险、意外伤害保险（承包商应为其员工购</w:t>
      </w:r>
      <w:r>
        <w:rPr>
          <w:rFonts w:hint="eastAsia" w:cs="Arial" w:asciiTheme="majorEastAsia" w:hAnsiTheme="majorEastAsia" w:eastAsiaTheme="majorEastAsia"/>
          <w:sz w:val="21"/>
          <w:szCs w:val="21"/>
          <w:lang w:eastAsia="zh-CN"/>
        </w:rPr>
        <w:t>买不低于100万/人的人身意外伤害责任险或者工伤+不低于23万</w:t>
      </w:r>
      <w:r>
        <w:rPr>
          <w:rFonts w:cs="Arial" w:asciiTheme="majorEastAsia" w:hAnsiTheme="majorEastAsia" w:eastAsiaTheme="majorEastAsia"/>
          <w:sz w:val="21"/>
          <w:szCs w:val="21"/>
          <w:lang w:eastAsia="zh-CN"/>
        </w:rPr>
        <w:t>/人的</w:t>
      </w:r>
      <w:r>
        <w:rPr>
          <w:rFonts w:hint="eastAsia" w:cs="Arial" w:asciiTheme="majorEastAsia" w:hAnsiTheme="majorEastAsia" w:eastAsiaTheme="majorEastAsia"/>
          <w:sz w:val="21"/>
          <w:szCs w:val="21"/>
          <w:lang w:eastAsia="zh-CN"/>
        </w:rPr>
        <w:t>人身意外伤害险</w:t>
      </w:r>
      <w:r>
        <w:rPr>
          <w:rFonts w:hint="eastAsia" w:asciiTheme="majorEastAsia" w:hAnsiTheme="majorEastAsia" w:eastAsiaTheme="majorEastAsia"/>
          <w:sz w:val="21"/>
          <w:szCs w:val="21"/>
          <w:lang w:eastAsia="zh-CN"/>
        </w:rPr>
        <w:t>），为施工人员配备合格的劳动防护用品、安全用具及应急救援设施，并保证施工工具、器械使用安全。</w:t>
      </w:r>
    </w:p>
    <w:p w14:paraId="419D3A36">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12、乙方需建立安全检查制度，指定专人负责现场安全监督检查工作，认真开展安全检查，发现作业过程中不安全行为、隐患、重大险情，应采取有效措施及时处理并报告甲方。</w:t>
      </w:r>
    </w:p>
    <w:p w14:paraId="2A0A344E">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13、发生事故时，乙方必须按我司管理规定及时向甲方报告。同时根据指令迅速组织实施现场人员疏散和抢救工作、采取相应的措施保护好现场，并要积极配合甲方或上级有关部门对事故的调查和现场勘查。</w:t>
      </w:r>
    </w:p>
    <w:p w14:paraId="2842C4C5">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14、乙方进入现场的施工人员，严禁动用装置区机泵、容器、塔、加热炉等任何部位阀门，防止误开误关，造成意外事故。如确实需用，经与装置有关人员联系，同意后，由操作人员启闭阀门。</w:t>
      </w:r>
    </w:p>
    <w:p w14:paraId="7F620AC4">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15、乙方未经允许，不准占用消防通道和使用消防设施，确需占用或破路工程和使用消防设施，必须取得甲方同意并按照甲方有关规定办理手续；在规定时间内完工（使用）后，立即恢复道路（消防设施）的正常使用，以保证消防通道畅通无阻和消防设施处于完好状态。</w:t>
      </w:r>
    </w:p>
    <w:p w14:paraId="40D7F8D4">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16、</w:t>
      </w:r>
      <w:r>
        <w:rPr>
          <w:rFonts w:hint="eastAsia" w:asciiTheme="majorEastAsia" w:hAnsiTheme="majorEastAsia" w:eastAsiaTheme="majorEastAsia"/>
          <w:bCs/>
          <w:sz w:val="21"/>
          <w:szCs w:val="21"/>
          <w:lang w:eastAsia="zh-CN"/>
        </w:rPr>
        <w:t>乙方负责组织施工作业的危害辨识、风险评估，编制专项施工方案、作业程序、安全措施，提交相应的部门审查、备案。并组织专项施工方案、作业程序、安全措施的交底和落实。负责编制专项施工相关应急预案，并组织相关人员进行学习培训。</w:t>
      </w:r>
    </w:p>
    <w:p w14:paraId="76034739">
      <w:pPr>
        <w:spacing w:line="276" w:lineRule="auto"/>
        <w:ind w:left="338" w:hanging="338" w:hangingChars="161"/>
        <w:rPr>
          <w:rFonts w:asciiTheme="majorEastAsia" w:hAnsiTheme="majorEastAsia" w:eastAsiaTheme="majorEastAsia"/>
          <w:bCs/>
          <w:sz w:val="21"/>
          <w:szCs w:val="21"/>
          <w:lang w:eastAsia="zh-CN"/>
        </w:rPr>
      </w:pPr>
      <w:r>
        <w:rPr>
          <w:rFonts w:hint="eastAsia" w:asciiTheme="majorEastAsia" w:hAnsiTheme="majorEastAsia" w:eastAsiaTheme="majorEastAsia"/>
          <w:bCs/>
          <w:sz w:val="21"/>
          <w:szCs w:val="21"/>
          <w:lang w:eastAsia="zh-CN"/>
        </w:rPr>
        <w:t>17、</w:t>
      </w:r>
      <w:r>
        <w:rPr>
          <w:rFonts w:hint="eastAsia" w:asciiTheme="majorEastAsia" w:hAnsiTheme="majorEastAsia" w:eastAsiaTheme="majorEastAsia"/>
          <w:sz w:val="21"/>
          <w:szCs w:val="21"/>
          <w:lang w:eastAsia="zh-CN"/>
        </w:rPr>
        <w:t>乙方</w:t>
      </w:r>
      <w:r>
        <w:rPr>
          <w:rFonts w:hint="eastAsia" w:asciiTheme="majorEastAsia" w:hAnsiTheme="majorEastAsia" w:eastAsiaTheme="majorEastAsia"/>
          <w:bCs/>
          <w:sz w:val="21"/>
          <w:szCs w:val="21"/>
          <w:lang w:eastAsia="zh-CN"/>
        </w:rPr>
        <w:t>吊装作业单位的负责人及安全管理人员应对吊装区域内的安全状况进行检查（包括吊装区域的划定、标识、障碍）。警戒区域及吊装现场应设置安全警戒标志，并设专人监护，非作业人员禁止入内。安全警戒标志应符合《安全标志及其使用导则》（</w:t>
      </w:r>
      <w:r>
        <w:rPr>
          <w:rFonts w:hint="eastAsia" w:asciiTheme="majorEastAsia" w:hAnsiTheme="majorEastAsia" w:eastAsiaTheme="majorEastAsia"/>
          <w:sz w:val="21"/>
          <w:szCs w:val="21"/>
          <w:lang w:eastAsia="zh-CN"/>
        </w:rPr>
        <w:t>GB 2894-2008）</w:t>
      </w:r>
      <w:r>
        <w:rPr>
          <w:rFonts w:hint="eastAsia" w:asciiTheme="majorEastAsia" w:hAnsiTheme="majorEastAsia" w:eastAsiaTheme="majorEastAsia"/>
          <w:bCs/>
          <w:sz w:val="21"/>
          <w:szCs w:val="21"/>
          <w:lang w:eastAsia="zh-CN"/>
        </w:rPr>
        <w:t>的规定。</w:t>
      </w:r>
    </w:p>
    <w:p w14:paraId="33342F41">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bCs/>
          <w:sz w:val="21"/>
          <w:szCs w:val="21"/>
          <w:lang w:eastAsia="zh-CN"/>
        </w:rPr>
        <w:t>18、</w:t>
      </w:r>
      <w:r>
        <w:rPr>
          <w:rFonts w:hint="eastAsia" w:asciiTheme="majorEastAsia" w:hAnsiTheme="majorEastAsia" w:eastAsiaTheme="majorEastAsia"/>
          <w:sz w:val="21"/>
          <w:szCs w:val="21"/>
          <w:lang w:eastAsia="zh-CN"/>
        </w:rPr>
        <w:t>乙方</w:t>
      </w:r>
      <w:r>
        <w:rPr>
          <w:rFonts w:hint="eastAsia" w:asciiTheme="majorEastAsia" w:hAnsiTheme="majorEastAsia" w:eastAsiaTheme="majorEastAsia"/>
          <w:bCs/>
          <w:sz w:val="21"/>
          <w:szCs w:val="21"/>
          <w:lang w:eastAsia="zh-CN"/>
        </w:rPr>
        <w:t>施工用配电开关箱、电焊机等临时用电设备须距离容易发生泄漏的设备及下水井、油沟和隔油池不得少于15米，确因客观条件距离达不到15米的，必须覆盖严实并检测合格。电源线、电焊把线、电焊地线必须绝缘良好，并应避开下水井、油沟等危险区域，电焊地线应固定在焊件本体上。在可燃可爆区域动火所使用的电源线和地线不准用塑料铝线，要求使用胶皮铜线。</w:t>
      </w:r>
    </w:p>
    <w:p w14:paraId="3C8836B8">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19、乙方施工产生的</w:t>
      </w:r>
      <w:r>
        <w:rPr>
          <w:rFonts w:hint="eastAsia" w:asciiTheme="majorEastAsia" w:hAnsiTheme="majorEastAsia" w:eastAsiaTheme="majorEastAsia"/>
          <w:bCs/>
          <w:sz w:val="21"/>
          <w:szCs w:val="21"/>
          <w:lang w:eastAsia="zh-CN"/>
        </w:rPr>
        <w:t>任何有毒、有害物质，油类，化学品，废水，生活污水及其它污染物绝不能排入雨边沟、地井或污染地表土，必须按国家及地方的相关规定进行妥善处置。</w:t>
      </w:r>
      <w:r>
        <w:rPr>
          <w:rFonts w:hint="eastAsia" w:asciiTheme="majorEastAsia" w:hAnsiTheme="majorEastAsia" w:eastAsiaTheme="majorEastAsia"/>
          <w:sz w:val="21"/>
          <w:szCs w:val="21"/>
          <w:lang w:eastAsia="zh-CN"/>
        </w:rPr>
        <w:t>产生的废物应进行鉴别，一般固废和危险废物应妥善包装、分类堆放，并及时清理。不能任意排放和丢弃。不依法合规处置固体废物，在厂外随意丢弃的，直接解除合同，清除出厂。</w:t>
      </w:r>
    </w:p>
    <w:p w14:paraId="066D693A">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20、乙方在施工过程中不得擅自更换工程技术管理人员、安全管理人员以及关系到施工安全及质量的特殊工种人员，特殊情况需要更换时，必须经甲方同意后方可更换，新更换人员的经验、资历等不低于原配备人员，并对新更换的人员进行相应的安全教育、培训和考核。</w:t>
      </w:r>
    </w:p>
    <w:p w14:paraId="22596520">
      <w:pPr>
        <w:spacing w:line="276" w:lineRule="auto"/>
        <w:ind w:left="338" w:hanging="338" w:hangingChars="161"/>
        <w:rPr>
          <w:rFonts w:asciiTheme="majorEastAsia" w:hAnsiTheme="majorEastAsia" w:eastAsiaTheme="majorEastAsia"/>
          <w:bCs/>
          <w:sz w:val="21"/>
          <w:szCs w:val="21"/>
          <w:lang w:eastAsia="zh-CN"/>
        </w:rPr>
      </w:pPr>
      <w:r>
        <w:rPr>
          <w:rFonts w:hint="eastAsia" w:asciiTheme="majorEastAsia" w:hAnsiTheme="majorEastAsia" w:eastAsiaTheme="majorEastAsia"/>
          <w:sz w:val="21"/>
          <w:szCs w:val="21"/>
          <w:lang w:eastAsia="zh-CN"/>
        </w:rPr>
        <w:t>21、</w:t>
      </w:r>
      <w:r>
        <w:rPr>
          <w:rFonts w:hint="eastAsia" w:asciiTheme="majorEastAsia" w:hAnsiTheme="majorEastAsia" w:eastAsiaTheme="majorEastAsia"/>
          <w:bCs/>
          <w:sz w:val="21"/>
          <w:szCs w:val="21"/>
          <w:lang w:eastAsia="zh-CN"/>
        </w:rPr>
        <w:t>两个以上承包商在同一作业区域内进行生产经营活动，可能危及对方生产安全的，应当签订《安全生产管理协议》，明确各自的安全生产管理职责和应当采取的安全措施，并指定专职安全生产管理人员进行安全检查与协调。</w:t>
      </w:r>
    </w:p>
    <w:p w14:paraId="69D9F7C1">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22、承包商与接触职业病危害因素的施工人员订立劳动合同时，应当将工作过程中可能产生的职业病危害及其后果、职业病防护措施和待遇等如实告知施工人员，并在劳动合同中写明，不得隐瞒或者欺骗。</w:t>
      </w:r>
    </w:p>
    <w:p w14:paraId="0015602C">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23、承包商应组织接触职业病危害因素的施工人员进行岗前、岗中职业卫生教育培训，告知工作场所存在的职业病危害，掌握有关职业病防治的规章制度、操作规程、应急救援措施、职业病防护设施和个人防护用品的正确使用维护方法及相关警示标识的含义，并经书面和实际操作考试合格后方可上岗作业。</w:t>
      </w:r>
    </w:p>
    <w:p w14:paraId="330C3144">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24、承包商应根据各个岗位各种作业时的有害因素制定相应的劳动防护用品配发标准，为施工人员定期配发符合国家规定的相应的劳动防护用品。</w:t>
      </w:r>
    </w:p>
    <w:p w14:paraId="07D2F5DF">
      <w:pPr>
        <w:spacing w:line="276" w:lineRule="auto"/>
        <w:ind w:left="33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25、乙方应按《中华人民共和国劳动法》、《中华人民共和国职业病防治法》等法律、法规、规定用工，承包商应组织从事接触职业病危害因素作业的施工人员，进行上岗前、在岗期间、离岗时、应急职业健康检查，检查费用由承包商承担。 不安排未经上岗前职业健康检查的施工人员从事接触职业病危害的作业；不安排未成年工和有职业禁忌的施工人员从事其所禁忌的作业。</w:t>
      </w:r>
    </w:p>
    <w:p w14:paraId="567BF59A">
      <w:pPr>
        <w:spacing w:line="276" w:lineRule="auto"/>
        <w:ind w:left="82" w:hanging="81" w:hangingChars="39"/>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三、违约责任及处理</w:t>
      </w:r>
    </w:p>
    <w:p w14:paraId="591586CB">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1、乙方不得转包、违法分包及挂靠等违法行为，若存在违法行为，甲方有权解除合同；未经福海创许可，不得将工程分包。</w:t>
      </w:r>
    </w:p>
    <w:p w14:paraId="5520FE26">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2、发生安全事故时，甲乙双方均有抢险、救灾的义务，所发生的费用由责任方承担。</w:t>
      </w:r>
    </w:p>
    <w:p w14:paraId="08B5BC1E">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3、发生安全事故，由甲方或者政府安全管理机构按事故调查处理的，乙方参与配合调查。因乙方主要责任造成的人身伤亡、设备损坏事故及其造成的经济损失,一切责任及损失由乙方承担，并由乙方上报有关政府部门调查处理、统计上报。</w:t>
      </w:r>
    </w:p>
    <w:p w14:paraId="202BD99E">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4、甲方违约造成的事故，甲方承担全部责任，并按规定追究有关人员责任及上报。</w:t>
      </w:r>
    </w:p>
    <w:p w14:paraId="5FE04C10">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5、乙方在施工过程中如果有违法、违规和违章行为，甲方将按照按国家法律、法规和甲方的HSE管理制度进行处罚。处罚款由乙方现金形式交到甲方财务部，对不按时缴纳罚款的，甲方可以从乙方工程款双倍扣除。</w:t>
      </w:r>
    </w:p>
    <w:p w14:paraId="2501E96F">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6、乙方违约造成的事故，乙方承担全部责任，对于事故后果影响较大的承包商，由甲方主管部门下达停工通知单，勒令承包商停工整顿，在承包商问题隐患整改完毕、人员培训学习合格后方可重新准予开工，并按规定追究有关人员责任并报告甲方；由于乙方工程服务质量、检修质量及购买的原材料质量导致的事故，由乙方承担全部责任构成犯罪的，依法追究刑事责任。</w:t>
      </w:r>
    </w:p>
    <w:p w14:paraId="54C5F2B6">
      <w:pPr>
        <w:spacing w:line="276" w:lineRule="auto"/>
        <w:ind w:left="319" w:hanging="319" w:hangingChars="152"/>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7、对乙方发生事故后弄虚作假、隐瞒不报、迟报或谎报，一经查出，按有关规定处罚，并向所有在甲方范围内施工的其它承包商进行通报，并将通报送达承包商。情节严重的，取消其进入甲方的市场资格。</w:t>
      </w:r>
    </w:p>
    <w:p w14:paraId="495AD59C">
      <w:pPr>
        <w:spacing w:line="276" w:lineRule="auto"/>
        <w:ind w:left="188" w:hanging="188" w:hangingChars="89"/>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四、不可抗力：</w:t>
      </w:r>
    </w:p>
    <w:p w14:paraId="6D7FBCBB">
      <w:pPr>
        <w:spacing w:line="276" w:lineRule="auto"/>
        <w:ind w:left="187" w:hanging="186" w:hangingChars="89"/>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 xml:space="preserve">   由于不可抗力造成合同项目施工作业事故及产生的损失，甲乙双方各自承担相应的损失。</w:t>
      </w:r>
    </w:p>
    <w:p w14:paraId="638CE254">
      <w:pPr>
        <w:spacing w:line="276" w:lineRule="auto"/>
        <w:ind w:left="188" w:hanging="188" w:hangingChars="89"/>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五、本协议书一式两份，甲乙双方各执一份。</w:t>
      </w:r>
    </w:p>
    <w:p w14:paraId="7F964AED">
      <w:pPr>
        <w:spacing w:line="276" w:lineRule="auto"/>
        <w:ind w:left="188" w:hanging="188" w:hangingChars="89"/>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六、本协议书经双方盖章后生效。</w:t>
      </w:r>
    </w:p>
    <w:p w14:paraId="4BD3BEC3">
      <w:pPr>
        <w:spacing w:line="276" w:lineRule="auto"/>
        <w:ind w:left="188" w:hanging="188" w:hangingChars="89"/>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七、协议期限：</w:t>
      </w:r>
    </w:p>
    <w:p w14:paraId="5E44DC63">
      <w:pPr>
        <w:spacing w:line="276" w:lineRule="auto"/>
        <w:ind w:firstLine="105" w:firstLineChars="5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本协议期限应与主合同期限一致。如果主合同因故需要变更期限，本合同应与主同变更至相同期限。</w:t>
      </w:r>
    </w:p>
    <w:p w14:paraId="3CDA9AA5">
      <w:pPr>
        <w:spacing w:line="276" w:lineRule="auto"/>
        <w:ind w:left="82" w:hanging="81" w:hangingChars="39"/>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（以下无正文）</w:t>
      </w:r>
    </w:p>
    <w:p w14:paraId="07C7A3A3">
      <w:pPr>
        <w:spacing w:line="276" w:lineRule="auto"/>
        <w:rPr>
          <w:szCs w:val="21"/>
          <w:lang w:eastAsia="zh-CN"/>
        </w:rPr>
      </w:pPr>
    </w:p>
    <w:p w14:paraId="26104C4F">
      <w:pPr>
        <w:spacing w:line="276" w:lineRule="auto"/>
        <w:rPr>
          <w:szCs w:val="21"/>
          <w:lang w:eastAsia="zh-CN"/>
        </w:rPr>
      </w:pPr>
      <w:r>
        <w:rPr>
          <w:rFonts w:hint="eastAsia"/>
          <w:szCs w:val="21"/>
          <w:lang w:eastAsia="zh-CN"/>
        </w:rPr>
        <w:t>甲方 (章)：                                  乙方(章)：</w:t>
      </w:r>
    </w:p>
    <w:p w14:paraId="437EE4A1">
      <w:pPr>
        <w:spacing w:line="312" w:lineRule="auto"/>
        <w:rPr>
          <w:szCs w:val="21"/>
          <w:lang w:eastAsia="zh-CN"/>
        </w:rPr>
      </w:pPr>
      <w:r>
        <w:rPr>
          <w:rFonts w:hint="eastAsia"/>
          <w:szCs w:val="21"/>
          <w:lang w:eastAsia="zh-CN"/>
        </w:rPr>
        <w:t>签定日期：    年    月    日                   年    月    日</w:t>
      </w:r>
    </w:p>
    <w:p w14:paraId="1A586B16">
      <w:pPr>
        <w:pStyle w:val="54"/>
        <w:adjustRightInd/>
        <w:spacing w:line="360" w:lineRule="auto"/>
        <w:ind w:left="-196"/>
        <w:rPr>
          <w:rFonts w:asciiTheme="majorEastAsia" w:hAnsiTheme="majorEastAsia" w:eastAsiaTheme="majorEastAsia"/>
          <w:b/>
          <w:bCs/>
          <w:sz w:val="22"/>
        </w:rPr>
      </w:pPr>
    </w:p>
    <w:p w14:paraId="40624014">
      <w:pPr>
        <w:pStyle w:val="54"/>
        <w:rPr>
          <w:b/>
          <w:bCs/>
          <w:sz w:val="28"/>
          <w:szCs w:val="28"/>
        </w:rPr>
      </w:pPr>
      <w:r>
        <w:rPr>
          <w:rFonts w:hAnsi="宋体" w:cs="宋体"/>
          <w:b/>
          <w:sz w:val="28"/>
          <w:szCs w:val="28"/>
        </w:rPr>
        <w:t>附件3</w:t>
      </w:r>
      <w:r>
        <w:rPr>
          <w:rFonts w:hint="eastAsia" w:hAnsi="宋体" w:cs="宋体"/>
          <w:b/>
          <w:sz w:val="28"/>
          <w:szCs w:val="28"/>
        </w:rPr>
        <w:t>：</w:t>
      </w:r>
    </w:p>
    <w:p w14:paraId="6FBFB44F">
      <w:pPr>
        <w:spacing w:line="520" w:lineRule="exact"/>
        <w:jc w:val="center"/>
        <w:rPr>
          <w:b/>
          <w:sz w:val="32"/>
          <w:szCs w:val="32"/>
          <w:lang w:eastAsia="zh-CN"/>
        </w:rPr>
      </w:pPr>
      <w:r>
        <w:rPr>
          <w:rFonts w:hint="eastAsia"/>
          <w:b/>
          <w:sz w:val="32"/>
          <w:szCs w:val="32"/>
          <w:lang w:eastAsia="zh-CN"/>
        </w:rPr>
        <w:t>保密协议</w:t>
      </w:r>
    </w:p>
    <w:p w14:paraId="5F8EB759">
      <w:pPr>
        <w:spacing w:line="520" w:lineRule="exact"/>
        <w:jc w:val="right"/>
        <w:rPr>
          <w:sz w:val="21"/>
          <w:szCs w:val="21"/>
          <w:lang w:eastAsia="zh-CN"/>
        </w:rPr>
      </w:pPr>
      <w:r>
        <w:rPr>
          <w:rFonts w:hint="eastAsia"/>
          <w:sz w:val="21"/>
          <w:szCs w:val="21"/>
          <w:lang w:eastAsia="zh-CN"/>
        </w:rPr>
        <w:t>于20</w:t>
      </w:r>
      <w:r>
        <w:rPr>
          <w:sz w:val="21"/>
          <w:szCs w:val="21"/>
          <w:lang w:eastAsia="zh-CN"/>
        </w:rPr>
        <w:t>2</w:t>
      </w:r>
      <w:r>
        <w:rPr>
          <w:rFonts w:hint="eastAsia"/>
          <w:sz w:val="21"/>
          <w:szCs w:val="21"/>
          <w:lang w:eastAsia="zh-CN"/>
        </w:rPr>
        <w:t>6年  月  日于</w:t>
      </w:r>
      <w:r>
        <w:rPr>
          <w:rFonts w:hint="eastAsia"/>
          <w:sz w:val="21"/>
          <w:szCs w:val="21"/>
          <w:u w:val="single"/>
          <w:lang w:eastAsia="zh-CN"/>
        </w:rPr>
        <w:t>漳州古雷</w:t>
      </w:r>
      <w:r>
        <w:rPr>
          <w:rFonts w:hint="eastAsia"/>
          <w:sz w:val="21"/>
          <w:szCs w:val="21"/>
          <w:lang w:eastAsia="zh-CN"/>
        </w:rPr>
        <w:t>订立</w:t>
      </w:r>
    </w:p>
    <w:p w14:paraId="1AE7A32D">
      <w:pPr>
        <w:spacing w:line="440" w:lineRule="exact"/>
        <w:rPr>
          <w:b/>
          <w:sz w:val="21"/>
          <w:szCs w:val="21"/>
          <w:lang w:eastAsia="zh-CN"/>
        </w:rPr>
      </w:pPr>
      <w:r>
        <w:rPr>
          <w:rFonts w:hint="eastAsia"/>
          <w:b/>
          <w:sz w:val="21"/>
          <w:szCs w:val="21"/>
          <w:lang w:eastAsia="zh-CN"/>
        </w:rPr>
        <w:t>甲方：福建福海创石油化工有限公司</w:t>
      </w:r>
    </w:p>
    <w:p w14:paraId="01E69DEE">
      <w:pPr>
        <w:spacing w:after="156" w:afterLines="50" w:line="440" w:lineRule="exact"/>
        <w:rPr>
          <w:sz w:val="21"/>
          <w:szCs w:val="21"/>
          <w:lang w:eastAsia="zh-CN"/>
        </w:rPr>
      </w:pPr>
      <w:r>
        <w:rPr>
          <w:rFonts w:hint="eastAsia"/>
          <w:sz w:val="21"/>
          <w:szCs w:val="21"/>
          <w:lang w:eastAsia="zh-CN"/>
        </w:rPr>
        <w:t>住所地：漳州市古雷经济开发区</w:t>
      </w:r>
    </w:p>
    <w:p w14:paraId="470BB537">
      <w:pPr>
        <w:spacing w:line="440" w:lineRule="exact"/>
        <w:rPr>
          <w:b/>
          <w:sz w:val="21"/>
          <w:szCs w:val="21"/>
          <w:lang w:eastAsia="zh-CN"/>
        </w:rPr>
      </w:pPr>
      <w:r>
        <w:rPr>
          <w:rFonts w:hint="eastAsia"/>
          <w:b/>
          <w:sz w:val="21"/>
          <w:szCs w:val="21"/>
          <w:lang w:eastAsia="zh-CN"/>
        </w:rPr>
        <w:t>乙方：</w:t>
      </w:r>
    </w:p>
    <w:p w14:paraId="5D87A17C">
      <w:pPr>
        <w:spacing w:line="440" w:lineRule="exact"/>
        <w:rPr>
          <w:sz w:val="21"/>
          <w:szCs w:val="21"/>
          <w:lang w:eastAsia="zh-CN"/>
        </w:rPr>
      </w:pPr>
      <w:r>
        <w:rPr>
          <w:rFonts w:hint="eastAsia"/>
          <w:sz w:val="21"/>
          <w:szCs w:val="21"/>
          <w:lang w:eastAsia="zh-CN"/>
        </w:rPr>
        <w:t>住所地：</w:t>
      </w:r>
    </w:p>
    <w:p w14:paraId="09CB372C">
      <w:pPr>
        <w:spacing w:line="440" w:lineRule="exact"/>
        <w:rPr>
          <w:rFonts w:asciiTheme="majorEastAsia" w:hAnsiTheme="majorEastAsia" w:eastAsiaTheme="majorEastAsia"/>
          <w:sz w:val="21"/>
          <w:szCs w:val="21"/>
          <w:lang w:eastAsia="zh-CN"/>
        </w:rPr>
      </w:pPr>
    </w:p>
    <w:p w14:paraId="5AEA52AA">
      <w:pPr>
        <w:spacing w:line="440" w:lineRule="exact"/>
        <w:ind w:firstLine="420" w:firstLineChars="20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鉴于：</w:t>
      </w:r>
    </w:p>
    <w:p w14:paraId="0DDF064D">
      <w:pPr>
        <w:spacing w:line="440" w:lineRule="exact"/>
        <w:ind w:firstLine="420" w:firstLineChars="20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甲乙双方为进行</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之目的（以下简称“本项目”），甲方及其关联企业为本项目</w:t>
      </w:r>
      <w:r>
        <w:rPr>
          <w:rFonts w:hint="eastAsia" w:asciiTheme="majorEastAsia" w:hAnsiTheme="majorEastAsia" w:eastAsiaTheme="majorEastAsia"/>
          <w:sz w:val="21"/>
          <w:szCs w:val="21"/>
          <w:u w:val="single"/>
          <w:lang w:eastAsia="zh-CN"/>
        </w:rPr>
        <w:t xml:space="preserve">               </w:t>
      </w:r>
      <w:r>
        <w:rPr>
          <w:rFonts w:hint="eastAsia" w:asciiTheme="majorEastAsia" w:hAnsiTheme="majorEastAsia" w:eastAsiaTheme="majorEastAsia"/>
          <w:sz w:val="21"/>
          <w:szCs w:val="21"/>
          <w:lang w:eastAsia="zh-CN"/>
        </w:rPr>
        <w:t>等用途，将向乙方提供甲方及其关联企业的保密信息（以下简称保密信息）。甲乙双方为审慎处理本项目的有关事务、保障本项目的顺利完成，并切实对知悉、接触甲方的保密信息予以保密，经双方充分友好协商，达成本协议。</w:t>
      </w:r>
    </w:p>
    <w:p w14:paraId="352B2ABC">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保密信息</w:t>
      </w:r>
    </w:p>
    <w:p w14:paraId="5E7E62E3">
      <w:pPr>
        <w:numPr>
          <w:ilvl w:val="0"/>
          <w:numId w:val="11"/>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本协议所称的“保密信息”，指甲方及其关联企业以各种形式向乙方披露、提供、制作的各种信函、报告、数据、传真、电话、电话记录、电子邮件、会议记录、有关协议等相关信息及材料。包括但不限于技术文件、设计、（设计、建筑）图纸；与工艺有关的描述和参数；工厂的设备、管道及仪表图；专有知识；环境风险；公司结构；产品信息及财务、法律及其他所有种类的由甲方或其关联企业直接或间接透露给乙方及/或其任何关系人及/或员工及/或分包商（以下统称为“乙方”）的与项目有关的数据，无论是书面的、电子方式的、口头的或其他任何的通讯形式。上述资料无须被注明是机密或是专有的，乙方均应合理地理解为属于甲方机密或专有资料。</w:t>
      </w:r>
    </w:p>
    <w:p w14:paraId="507B32C4">
      <w:pPr>
        <w:numPr>
          <w:ilvl w:val="0"/>
          <w:numId w:val="11"/>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甲方的关联企业，包括但不限于甲方的母公司、甲方全资或控股（含直接与间接控股）的子公司、甲方母公司全资或控股（含直接与间接控股）的子公司，以及法律法规规定或甲方向乙方声明属于甲方关联企业的其他公司或企业。</w:t>
      </w:r>
    </w:p>
    <w:p w14:paraId="0270A9C3">
      <w:pPr>
        <w:numPr>
          <w:ilvl w:val="0"/>
          <w:numId w:val="11"/>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保密信息的所有权归属于甲方。甲方披露、提供、制作的任何保密信息不应构成向乙方明示或暗示地授予任何对其专利、著作权、商标、商业秘密或其他知识产权的任何权利。</w:t>
      </w:r>
    </w:p>
    <w:p w14:paraId="3EC0679C">
      <w:pPr>
        <w:numPr>
          <w:ilvl w:val="0"/>
          <w:numId w:val="10"/>
        </w:numPr>
        <w:autoSpaceDE/>
        <w:autoSpaceDN/>
        <w:spacing w:line="440" w:lineRule="exact"/>
        <w:ind w:left="299" w:leftChars="-18" w:hanging="339" w:hangingChars="161"/>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乙方保密义务</w:t>
      </w:r>
    </w:p>
    <w:p w14:paraId="5710E80E">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不披露、不遗漏、不主动或被动的实施可能致使保密信息非依本协议规定的方式而被公开或泄露给第三方的行为，并以乙方保护其最高机密资料之措施保护甲方保密信息资料，保护措施应足以保护甲方保密信息的安全。</w:t>
      </w:r>
    </w:p>
    <w:p w14:paraId="7151E25D">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除本项目目的的合理使用以外，不会用于本项目目的之外的其他用途。</w:t>
      </w:r>
    </w:p>
    <w:p w14:paraId="6D78E430">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除非提前获得甲方书面同意或是国家机关依法律之规定而书面要求，不向任何第三方透露或泄露任何保密信息。在因国家机关依法律之规定而书面要求的情况下，乙方应在获得书面文件的第一时间书面通知甲方，并且将该保密信息的披露严格限制在国家机关要求的范围内。</w:t>
      </w:r>
    </w:p>
    <w:p w14:paraId="50A57059">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除参与本项目之必须外，不复印、复制任何甲方的保密信息资料。</w:t>
      </w:r>
    </w:p>
    <w:p w14:paraId="4F409593">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使用甲方保密信息的范围仅限于因参与本项目所必须的乙方工作人员，与本项目无关的乙方工作人员不得接触、使用甲方的保密信息资料。乙方工作人员在保密期限内离职的，仍应继续负有保密义务。如上述人员违反保密义务的，视同为乙方违反保密义务。</w:t>
      </w:r>
    </w:p>
    <w:p w14:paraId="0D41EEFB">
      <w:pPr>
        <w:numPr>
          <w:ilvl w:val="0"/>
          <w:numId w:val="12"/>
        </w:numPr>
        <w:autoSpaceDE/>
        <w:autoSpaceDN/>
        <w:spacing w:line="440" w:lineRule="exact"/>
        <w:ind w:left="298" w:leftChars="-18" w:hanging="338" w:hangingChars="161"/>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与乙方在法律关系上独立的主体（包括但不限于股东、子公司、代理方、顾问、中介机构或其他关联方）如确因本项目之必须，在获得甲方认可并与甲方签订书面保密协议后，可在保密协议约束下获得、使用甲方的保密信息资料。</w:t>
      </w:r>
    </w:p>
    <w:p w14:paraId="33ADEB12">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保密义务的例外</w:t>
      </w:r>
    </w:p>
    <w:p w14:paraId="661DB014">
      <w:pPr>
        <w:numPr>
          <w:ilvl w:val="0"/>
          <w:numId w:val="13"/>
        </w:numPr>
        <w:autoSpaceDE/>
        <w:autoSpaceDN/>
        <w:spacing w:line="440" w:lineRule="exact"/>
        <w:ind w:left="0" w:firstLine="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保密信息已被公众所知并可通过公开途径获得（非因违反本协议而造成）。</w:t>
      </w:r>
    </w:p>
    <w:p w14:paraId="3B2C9A72">
      <w:pPr>
        <w:numPr>
          <w:ilvl w:val="0"/>
          <w:numId w:val="13"/>
        </w:numPr>
        <w:autoSpaceDE/>
        <w:autoSpaceDN/>
        <w:spacing w:line="440" w:lineRule="exact"/>
        <w:ind w:left="0" w:firstLine="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通过合法途径向第三方获得的资料，并且该第三方对该等资料并没有任何保密义务。</w:t>
      </w:r>
    </w:p>
    <w:p w14:paraId="1C1621DC">
      <w:pPr>
        <w:numPr>
          <w:ilvl w:val="0"/>
          <w:numId w:val="13"/>
        </w:numPr>
        <w:autoSpaceDE/>
        <w:autoSpaceDN/>
        <w:spacing w:line="440" w:lineRule="exact"/>
        <w:ind w:left="0" w:firstLine="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乙方在并无参考甲方保密资料的情况下独立开发的资料。</w:t>
      </w:r>
    </w:p>
    <w:p w14:paraId="29EE9652">
      <w:pPr>
        <w:numPr>
          <w:ilvl w:val="0"/>
          <w:numId w:val="13"/>
        </w:numPr>
        <w:autoSpaceDE/>
        <w:autoSpaceDN/>
        <w:spacing w:line="440" w:lineRule="exact"/>
        <w:ind w:left="0" w:firstLine="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为完成本项目而将保密信息报送有关国家机关、机构进行审批或公开披露的（需经甲方事前书面确认）。</w:t>
      </w:r>
    </w:p>
    <w:p w14:paraId="612B8E0C">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资料返还与销毁</w:t>
      </w:r>
    </w:p>
    <w:p w14:paraId="57B820DB">
      <w:pPr>
        <w:spacing w:line="440" w:lineRule="exact"/>
        <w:ind w:left="237" w:leftChars="86" w:hanging="48" w:hangingChars="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在就项目所开展的任何讨论或乙方在此项目中的参与结束后：</w:t>
      </w:r>
    </w:p>
    <w:p w14:paraId="5FE6A9E3">
      <w:pPr>
        <w:numPr>
          <w:ilvl w:val="1"/>
          <w:numId w:val="10"/>
        </w:numPr>
        <w:tabs>
          <w:tab w:val="left" w:pos="360"/>
        </w:tabs>
        <w:autoSpaceDE/>
        <w:autoSpaceDN/>
        <w:spacing w:line="440" w:lineRule="exact"/>
        <w:ind w:left="238" w:leftChars="-9"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乙方应立即向甲方归还任何反应出保密信息的所有纸质文件材料，并从乙方曾向其输入保密信息的任何电脑、存储设备或类似设施中删除全部保密资料。</w:t>
      </w:r>
    </w:p>
    <w:p w14:paraId="6C565137">
      <w:pPr>
        <w:numPr>
          <w:ilvl w:val="1"/>
          <w:numId w:val="10"/>
        </w:numPr>
        <w:tabs>
          <w:tab w:val="left" w:pos="360"/>
        </w:tabs>
        <w:autoSpaceDE/>
        <w:autoSpaceDN/>
        <w:spacing w:line="440" w:lineRule="exact"/>
        <w:ind w:left="238" w:leftChars="-9"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如为适用法律法规的强制要求，在甲方书面允许的前提下，乙方可保留保密  信息中必要部分，乙方对此部分承担本协议规定的保密义务。</w:t>
      </w:r>
    </w:p>
    <w:p w14:paraId="6A04DDA4">
      <w:pPr>
        <w:numPr>
          <w:ilvl w:val="1"/>
          <w:numId w:val="10"/>
        </w:numPr>
        <w:tabs>
          <w:tab w:val="left" w:pos="360"/>
        </w:tabs>
        <w:autoSpaceDE/>
        <w:autoSpaceDN/>
        <w:spacing w:line="440" w:lineRule="exact"/>
        <w:ind w:left="238" w:leftChars="-9"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乙方不因归还或销毁保密资料的行为而免除其在本协议下所负有的任何义务和责任。</w:t>
      </w:r>
    </w:p>
    <w:p w14:paraId="31EFA7F2">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保密期限</w:t>
      </w:r>
    </w:p>
    <w:p w14:paraId="76B094B9">
      <w:pPr>
        <w:numPr>
          <w:ilvl w:val="0"/>
          <w:numId w:val="14"/>
        </w:numPr>
        <w:autoSpaceDE/>
        <w:autoSpaceDN/>
        <w:spacing w:line="440" w:lineRule="exact"/>
        <w:ind w:left="258"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无论本项目是否交由乙方完成或本项目是否实际完成，乙方须对本协议约定的全部保密信息负有无限期之保密义务直至保密信息成为公开信息。</w:t>
      </w:r>
    </w:p>
    <w:p w14:paraId="63AAD183">
      <w:pPr>
        <w:numPr>
          <w:ilvl w:val="0"/>
          <w:numId w:val="14"/>
        </w:numPr>
        <w:autoSpaceDE/>
        <w:autoSpaceDN/>
        <w:spacing w:line="440" w:lineRule="exact"/>
        <w:ind w:left="258"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除依法已公开披露的信息外，乙方应继续对保密信息中未公开披露的部分承担无期之保密义务直至未公开披露部分成为公开信息。</w:t>
      </w:r>
    </w:p>
    <w:p w14:paraId="7860DAA0">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违约责任</w:t>
      </w:r>
    </w:p>
    <w:p w14:paraId="2A7A045F">
      <w:pPr>
        <w:numPr>
          <w:ilvl w:val="0"/>
          <w:numId w:val="15"/>
        </w:numPr>
        <w:autoSpaceDE/>
        <w:autoSpaceDN/>
        <w:spacing w:line="440" w:lineRule="exact"/>
        <w:ind w:left="219" w:leftChars="-9" w:hanging="239" w:hangingChars="114"/>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本协议生效后，乙方违反本协议约定给甲方造成损失的，必须立即停止违约行为，并采取一切手段消除由此导致的不利影响，并应赔偿因违约导致的甲方全部经济损失。</w:t>
      </w:r>
    </w:p>
    <w:p w14:paraId="71E997E1">
      <w:pPr>
        <w:numPr>
          <w:ilvl w:val="0"/>
          <w:numId w:val="15"/>
        </w:numPr>
        <w:autoSpaceDE/>
        <w:autoSpaceDN/>
        <w:spacing w:line="440" w:lineRule="exact"/>
        <w:ind w:left="219" w:leftChars="-9" w:hanging="239" w:hangingChars="114"/>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前款所称的损失，包括但不限于守约方因违约方的违约行为而受到的索赔、支出、商业损失、信誉和声誉损失、有权机构作出的处罚等。</w:t>
      </w:r>
    </w:p>
    <w:p w14:paraId="11A0AF03">
      <w:pPr>
        <w:numPr>
          <w:ilvl w:val="0"/>
          <w:numId w:val="10"/>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争议解决</w:t>
      </w:r>
    </w:p>
    <w:p w14:paraId="5D5AD76B">
      <w:pPr>
        <w:spacing w:line="440" w:lineRule="exact"/>
        <w:ind w:left="259" w:leftChars="-9" w:hanging="279" w:hangingChars="13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1.本协议的签订、效力、解释、履行及争议的解决，均适用中国现行有效的法律、法规。</w:t>
      </w:r>
    </w:p>
    <w:p w14:paraId="3184C13B">
      <w:pPr>
        <w:spacing w:line="440" w:lineRule="exact"/>
        <w:ind w:left="259" w:leftChars="-9" w:hanging="279" w:hangingChars="13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2.因签订及履行本协议而发生的任何纠纷，双方应首先通过友好协商方式解决。若在纠纷发生后30个工作日内协商不成，任何一方可向甲方所在地人民法院提起诉讼。</w:t>
      </w:r>
    </w:p>
    <w:p w14:paraId="5BE09A0A">
      <w:pPr>
        <w:spacing w:line="440" w:lineRule="exact"/>
        <w:ind w:left="259" w:leftChars="-9" w:hanging="279" w:hangingChars="13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3.协商或诉讼期间，本协议不涉及纠纷的条款仍需履行。</w:t>
      </w:r>
    </w:p>
    <w:p w14:paraId="018308E4">
      <w:pPr>
        <w:spacing w:line="440" w:lineRule="exact"/>
        <w:rPr>
          <w:rFonts w:asciiTheme="majorEastAsia" w:hAnsiTheme="majorEastAsia" w:eastAsiaTheme="majorEastAsia"/>
          <w:b/>
          <w:sz w:val="21"/>
          <w:szCs w:val="21"/>
          <w:lang w:eastAsia="zh-CN"/>
        </w:rPr>
      </w:pPr>
      <w:r>
        <w:rPr>
          <w:rFonts w:hint="eastAsia" w:asciiTheme="majorEastAsia" w:hAnsiTheme="majorEastAsia" w:eastAsiaTheme="majorEastAsia"/>
          <w:b/>
          <w:sz w:val="21"/>
          <w:szCs w:val="21"/>
          <w:lang w:eastAsia="zh-CN"/>
        </w:rPr>
        <w:t>第八条  协议变更</w:t>
      </w:r>
    </w:p>
    <w:p w14:paraId="532FF1F1">
      <w:pPr>
        <w:spacing w:line="440" w:lineRule="exact"/>
        <w:ind w:firstLine="420" w:firstLineChars="200"/>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本协议生效后，对本协议未尽事宜或为履行本协议而需变更的，双方可以在充分协商后签订书面补充协议做出补充或变更。</w:t>
      </w:r>
    </w:p>
    <w:p w14:paraId="009DAD43">
      <w:pPr>
        <w:numPr>
          <w:ilvl w:val="0"/>
          <w:numId w:val="16"/>
        </w:numPr>
        <w:autoSpaceDE/>
        <w:autoSpaceDN/>
        <w:spacing w:line="440" w:lineRule="exact"/>
        <w:ind w:left="0" w:firstLine="0"/>
        <w:rPr>
          <w:rFonts w:asciiTheme="majorEastAsia" w:hAnsiTheme="majorEastAsia" w:eastAsiaTheme="majorEastAsia"/>
          <w:b/>
          <w:sz w:val="21"/>
          <w:szCs w:val="21"/>
        </w:rPr>
      </w:pPr>
      <w:r>
        <w:rPr>
          <w:rFonts w:hint="eastAsia" w:asciiTheme="majorEastAsia" w:hAnsiTheme="majorEastAsia" w:eastAsiaTheme="majorEastAsia"/>
          <w:b/>
          <w:sz w:val="21"/>
          <w:szCs w:val="21"/>
          <w:lang w:eastAsia="zh-CN"/>
        </w:rPr>
        <w:t xml:space="preserve"> </w:t>
      </w:r>
      <w:r>
        <w:rPr>
          <w:rFonts w:hint="eastAsia" w:asciiTheme="majorEastAsia" w:hAnsiTheme="majorEastAsia" w:eastAsiaTheme="majorEastAsia"/>
          <w:b/>
          <w:sz w:val="21"/>
          <w:szCs w:val="21"/>
        </w:rPr>
        <w:t>其他</w:t>
      </w:r>
    </w:p>
    <w:p w14:paraId="2FBC62D7">
      <w:pPr>
        <w:tabs>
          <w:tab w:val="left" w:pos="750"/>
        </w:tabs>
        <w:spacing w:line="440" w:lineRule="exact"/>
        <w:ind w:left="258"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1.双方确认</w:t>
      </w:r>
      <w:r>
        <w:rPr>
          <w:rFonts w:asciiTheme="majorEastAsia" w:hAnsiTheme="majorEastAsia" w:eastAsiaTheme="majorEastAsia"/>
          <w:sz w:val="21"/>
          <w:szCs w:val="21"/>
          <w:lang w:eastAsia="zh-CN"/>
        </w:rPr>
        <w:t>本协议及其内容并非双方就本项目进行谈判和达成任何独立的最终协议的基础，也不构成</w:t>
      </w:r>
      <w:r>
        <w:rPr>
          <w:rFonts w:hint="eastAsia" w:asciiTheme="majorEastAsia" w:hAnsiTheme="majorEastAsia" w:eastAsiaTheme="majorEastAsia"/>
          <w:sz w:val="21"/>
          <w:szCs w:val="21"/>
          <w:lang w:eastAsia="zh-CN"/>
        </w:rPr>
        <w:t>甲</w:t>
      </w:r>
      <w:r>
        <w:rPr>
          <w:rFonts w:asciiTheme="majorEastAsia" w:hAnsiTheme="majorEastAsia" w:eastAsiaTheme="majorEastAsia"/>
          <w:sz w:val="21"/>
          <w:szCs w:val="21"/>
          <w:lang w:eastAsia="zh-CN"/>
        </w:rPr>
        <w:t>方对本项目最终协议的任何承诺</w:t>
      </w:r>
      <w:r>
        <w:rPr>
          <w:rFonts w:hint="eastAsia" w:asciiTheme="majorEastAsia" w:hAnsiTheme="majorEastAsia" w:eastAsiaTheme="majorEastAsia"/>
          <w:sz w:val="21"/>
          <w:szCs w:val="21"/>
          <w:lang w:eastAsia="zh-CN"/>
        </w:rPr>
        <w:t>。甲方无义务承担所提供信息所造成的任何特殊的、偶然的、后续的、间接的损害或损失</w:t>
      </w:r>
      <w:r>
        <w:rPr>
          <w:rFonts w:asciiTheme="majorEastAsia" w:hAnsiTheme="majorEastAsia" w:eastAsiaTheme="majorEastAsia"/>
          <w:sz w:val="21"/>
          <w:szCs w:val="21"/>
          <w:lang w:eastAsia="zh-CN"/>
        </w:rPr>
        <w:t>。</w:t>
      </w:r>
    </w:p>
    <w:p w14:paraId="0FACEE50">
      <w:pPr>
        <w:tabs>
          <w:tab w:val="left" w:pos="750"/>
        </w:tabs>
        <w:spacing w:line="440" w:lineRule="exact"/>
        <w:ind w:left="258"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2.本协议经协议各方签订后生效。</w:t>
      </w:r>
    </w:p>
    <w:p w14:paraId="04B10D28">
      <w:pPr>
        <w:tabs>
          <w:tab w:val="left" w:pos="750"/>
        </w:tabs>
        <w:spacing w:line="440" w:lineRule="exact"/>
        <w:ind w:left="258" w:hanging="258" w:hangingChars="123"/>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3.本协议一式肆份，甲、乙双方各执两份，具有同等法律效力。</w:t>
      </w:r>
    </w:p>
    <w:p w14:paraId="1F7729DC">
      <w:pPr>
        <w:spacing w:line="440" w:lineRule="exact"/>
        <w:rPr>
          <w:rFonts w:asciiTheme="majorEastAsia" w:hAnsiTheme="majorEastAsia" w:eastAsiaTheme="majorEastAsia"/>
          <w:sz w:val="21"/>
          <w:szCs w:val="21"/>
          <w:lang w:eastAsia="zh-CN"/>
        </w:rPr>
      </w:pPr>
      <w:r>
        <w:rPr>
          <w:rFonts w:hint="eastAsia" w:asciiTheme="majorEastAsia" w:hAnsiTheme="majorEastAsia" w:eastAsiaTheme="majorEastAsia"/>
          <w:sz w:val="21"/>
          <w:szCs w:val="21"/>
          <w:lang w:eastAsia="zh-CN"/>
        </w:rPr>
        <w:t>（以下无正文）</w:t>
      </w:r>
    </w:p>
    <w:p w14:paraId="144DD349">
      <w:pPr>
        <w:spacing w:line="440" w:lineRule="exact"/>
        <w:rPr>
          <w:rFonts w:asciiTheme="majorEastAsia" w:hAnsiTheme="majorEastAsia" w:eastAsiaTheme="majorEastAsia"/>
          <w:sz w:val="21"/>
          <w:szCs w:val="21"/>
          <w:lang w:eastAsia="zh-CN"/>
        </w:rPr>
      </w:pPr>
    </w:p>
    <w:p w14:paraId="43FEBB39">
      <w:pPr>
        <w:spacing w:line="520" w:lineRule="exact"/>
        <w:rPr>
          <w:b/>
          <w:sz w:val="21"/>
          <w:szCs w:val="21"/>
          <w:lang w:eastAsia="zh-CN"/>
        </w:rPr>
      </w:pPr>
      <w:r>
        <w:rPr>
          <w:rFonts w:hint="eastAsia"/>
          <w:b/>
          <w:sz w:val="21"/>
          <w:szCs w:val="21"/>
          <w:lang w:eastAsia="zh-CN"/>
        </w:rPr>
        <w:t>甲方：福建福海创石油化工有限公司        乙方：</w:t>
      </w:r>
    </w:p>
    <w:p w14:paraId="04103D8B">
      <w:pPr>
        <w:pStyle w:val="54"/>
        <w:rPr>
          <w:b/>
          <w:bCs/>
          <w:sz w:val="21"/>
          <w:szCs w:val="21"/>
        </w:rPr>
      </w:pPr>
    </w:p>
    <w:p w14:paraId="640029D7">
      <w:pPr>
        <w:pStyle w:val="54"/>
        <w:rPr>
          <w:b/>
          <w:bCs/>
          <w:sz w:val="24"/>
          <w:szCs w:val="24"/>
        </w:rPr>
      </w:pPr>
    </w:p>
    <w:p w14:paraId="7CBE4484">
      <w:pPr>
        <w:pStyle w:val="54"/>
        <w:rPr>
          <w:b/>
          <w:bCs/>
          <w:sz w:val="24"/>
          <w:szCs w:val="24"/>
        </w:rPr>
      </w:pPr>
    </w:p>
    <w:p w14:paraId="52EF2AA9">
      <w:pPr>
        <w:pStyle w:val="54"/>
        <w:rPr>
          <w:b/>
          <w:bCs/>
          <w:sz w:val="24"/>
          <w:szCs w:val="24"/>
        </w:rPr>
      </w:pPr>
    </w:p>
    <w:p w14:paraId="73E575EC">
      <w:pPr>
        <w:pStyle w:val="54"/>
        <w:rPr>
          <w:b/>
          <w:bCs/>
          <w:sz w:val="24"/>
          <w:szCs w:val="24"/>
        </w:rPr>
      </w:pPr>
    </w:p>
    <w:p w14:paraId="0AEC0F24">
      <w:pPr>
        <w:pStyle w:val="54"/>
        <w:rPr>
          <w:b/>
          <w:bCs/>
          <w:sz w:val="24"/>
          <w:szCs w:val="24"/>
        </w:rPr>
      </w:pPr>
    </w:p>
    <w:p w14:paraId="77BF4253">
      <w:pPr>
        <w:pStyle w:val="54"/>
        <w:rPr>
          <w:b/>
          <w:bCs/>
          <w:sz w:val="24"/>
          <w:szCs w:val="24"/>
        </w:rPr>
      </w:pPr>
    </w:p>
    <w:p w14:paraId="2E740FE7">
      <w:pPr>
        <w:pStyle w:val="54"/>
        <w:rPr>
          <w:b/>
          <w:bCs/>
          <w:sz w:val="24"/>
          <w:szCs w:val="24"/>
        </w:rPr>
      </w:pPr>
    </w:p>
    <w:p w14:paraId="5E363B46">
      <w:pPr>
        <w:pStyle w:val="54"/>
        <w:rPr>
          <w:b/>
          <w:bCs/>
          <w:sz w:val="24"/>
          <w:szCs w:val="24"/>
        </w:rPr>
      </w:pPr>
    </w:p>
    <w:p w14:paraId="66CBB346">
      <w:pPr>
        <w:pStyle w:val="54"/>
        <w:rPr>
          <w:b/>
          <w:bCs/>
          <w:sz w:val="24"/>
          <w:szCs w:val="24"/>
        </w:rPr>
      </w:pPr>
    </w:p>
    <w:p w14:paraId="577F7894">
      <w:pPr>
        <w:pStyle w:val="54"/>
        <w:rPr>
          <w:b/>
          <w:bCs/>
          <w:sz w:val="24"/>
          <w:szCs w:val="24"/>
        </w:rPr>
      </w:pPr>
    </w:p>
    <w:p w14:paraId="6267C6FA">
      <w:pPr>
        <w:pStyle w:val="54"/>
        <w:rPr>
          <w:b/>
          <w:bCs/>
          <w:sz w:val="24"/>
          <w:szCs w:val="24"/>
        </w:rPr>
      </w:pPr>
    </w:p>
    <w:p w14:paraId="35A363F2">
      <w:pPr>
        <w:pStyle w:val="54"/>
        <w:rPr>
          <w:b/>
          <w:bCs/>
          <w:sz w:val="24"/>
          <w:szCs w:val="24"/>
        </w:rPr>
      </w:pPr>
    </w:p>
    <w:p w14:paraId="23CCD440">
      <w:pPr>
        <w:pStyle w:val="54"/>
        <w:rPr>
          <w:b/>
          <w:bCs/>
          <w:sz w:val="24"/>
          <w:szCs w:val="24"/>
        </w:rPr>
      </w:pPr>
    </w:p>
    <w:p w14:paraId="53DDF5E0">
      <w:pPr>
        <w:pStyle w:val="54"/>
        <w:rPr>
          <w:b/>
          <w:bCs/>
          <w:sz w:val="24"/>
          <w:szCs w:val="24"/>
        </w:rPr>
      </w:pPr>
    </w:p>
    <w:p w14:paraId="7E74BC23">
      <w:pPr>
        <w:pStyle w:val="54"/>
        <w:rPr>
          <w:b/>
          <w:bCs/>
          <w:sz w:val="24"/>
          <w:szCs w:val="24"/>
        </w:rPr>
      </w:pPr>
    </w:p>
    <w:p w14:paraId="37F53BAE">
      <w:pPr>
        <w:pStyle w:val="54"/>
        <w:rPr>
          <w:b/>
          <w:bCs/>
          <w:sz w:val="24"/>
          <w:szCs w:val="24"/>
        </w:rPr>
      </w:pPr>
    </w:p>
    <w:p w14:paraId="70083A0E">
      <w:pPr>
        <w:pStyle w:val="54"/>
        <w:rPr>
          <w:b/>
          <w:bCs/>
          <w:sz w:val="24"/>
          <w:szCs w:val="24"/>
        </w:rPr>
      </w:pPr>
    </w:p>
    <w:p w14:paraId="77E2F5D6">
      <w:pPr>
        <w:pStyle w:val="54"/>
        <w:rPr>
          <w:b/>
          <w:bCs/>
          <w:sz w:val="24"/>
          <w:szCs w:val="24"/>
        </w:rPr>
      </w:pPr>
    </w:p>
    <w:p w14:paraId="051461B2">
      <w:pPr>
        <w:pStyle w:val="54"/>
        <w:rPr>
          <w:b/>
          <w:bCs/>
          <w:sz w:val="24"/>
          <w:szCs w:val="24"/>
        </w:rPr>
      </w:pPr>
    </w:p>
    <w:p w14:paraId="51119A63">
      <w:pPr>
        <w:pStyle w:val="54"/>
        <w:rPr>
          <w:b/>
          <w:bCs/>
          <w:sz w:val="24"/>
          <w:szCs w:val="24"/>
        </w:rPr>
      </w:pPr>
    </w:p>
    <w:p w14:paraId="0D012C52">
      <w:pPr>
        <w:pStyle w:val="54"/>
        <w:rPr>
          <w:b/>
          <w:bCs/>
          <w:sz w:val="24"/>
          <w:szCs w:val="24"/>
        </w:rPr>
      </w:pPr>
    </w:p>
    <w:p w14:paraId="514E5136">
      <w:pPr>
        <w:pStyle w:val="54"/>
        <w:rPr>
          <w:b/>
          <w:bCs/>
          <w:sz w:val="24"/>
          <w:szCs w:val="24"/>
        </w:rPr>
      </w:pPr>
    </w:p>
    <w:p w14:paraId="1923B55F">
      <w:pPr>
        <w:pStyle w:val="54"/>
        <w:rPr>
          <w:b/>
          <w:bCs/>
          <w:sz w:val="24"/>
          <w:szCs w:val="24"/>
        </w:rPr>
      </w:pPr>
      <w:r>
        <w:rPr>
          <w:rFonts w:hint="eastAsia"/>
          <w:b/>
          <w:bCs/>
          <w:sz w:val="24"/>
          <w:szCs w:val="24"/>
        </w:rPr>
        <w:t>附件二、参选文件范本</w:t>
      </w:r>
    </w:p>
    <w:p w14:paraId="15BC34BD">
      <w:pPr>
        <w:pStyle w:val="24"/>
        <w:jc w:val="center"/>
        <w:rPr>
          <w:rFonts w:ascii="Times New Roman" w:hAnsi="Times New Roman"/>
          <w:b/>
          <w:sz w:val="52"/>
          <w:szCs w:val="52"/>
          <w:lang w:eastAsia="zh-CN"/>
        </w:rPr>
      </w:pPr>
    </w:p>
    <w:p w14:paraId="59E6B5F8">
      <w:pPr>
        <w:pStyle w:val="24"/>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14:paraId="6D8B8FA5">
      <w:pPr>
        <w:pStyle w:val="24"/>
        <w:spacing w:line="615" w:lineRule="exact"/>
        <w:jc w:val="center"/>
        <w:rPr>
          <w:rFonts w:ascii="方正小标宋简体" w:hAnsi="方正小标宋简体" w:eastAsia="方正小标宋简体" w:cs="方正小标宋简体"/>
          <w:b/>
          <w:sz w:val="44"/>
          <w:szCs w:val="44"/>
          <w:lang w:eastAsia="zh-CN"/>
        </w:rPr>
      </w:pPr>
    </w:p>
    <w:p w14:paraId="001F31BF">
      <w:pPr>
        <w:spacing w:line="1000"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2026年度火灾高危单位消防安全评估服务</w:t>
      </w:r>
    </w:p>
    <w:p w14:paraId="7CC3B6EE">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14:paraId="09470B38">
      <w:pPr>
        <w:pStyle w:val="54"/>
      </w:pPr>
    </w:p>
    <w:p w14:paraId="4B9853CC">
      <w:pPr>
        <w:pStyle w:val="24"/>
        <w:rPr>
          <w:rFonts w:ascii="Times New Roman" w:hAnsi="Times New Roman"/>
          <w:lang w:eastAsia="zh-CN"/>
        </w:rPr>
      </w:pPr>
    </w:p>
    <w:p w14:paraId="162DCD3B">
      <w:pPr>
        <w:pStyle w:val="24"/>
        <w:rPr>
          <w:rFonts w:ascii="Times New Roman" w:hAnsi="Times New Roman"/>
          <w:lang w:eastAsia="zh-CN"/>
        </w:rPr>
      </w:pPr>
    </w:p>
    <w:p w14:paraId="1BF78696">
      <w:pPr>
        <w:pStyle w:val="24"/>
        <w:rPr>
          <w:rFonts w:ascii="Times New Roman" w:hAnsi="Times New Roman"/>
          <w:lang w:eastAsia="zh-CN"/>
        </w:rPr>
      </w:pPr>
    </w:p>
    <w:p w14:paraId="58B2D2B4">
      <w:pPr>
        <w:pStyle w:val="24"/>
        <w:rPr>
          <w:rFonts w:ascii="Times New Roman" w:hAnsi="Times New Roman"/>
          <w:lang w:eastAsia="zh-CN"/>
        </w:rPr>
      </w:pPr>
    </w:p>
    <w:p w14:paraId="4B62F1E3">
      <w:pPr>
        <w:pStyle w:val="24"/>
        <w:rPr>
          <w:rFonts w:ascii="Times New Roman" w:hAnsi="Times New Roman"/>
          <w:lang w:eastAsia="zh-CN"/>
        </w:rPr>
      </w:pPr>
    </w:p>
    <w:p w14:paraId="0E8E284D">
      <w:pPr>
        <w:pStyle w:val="24"/>
        <w:rPr>
          <w:rFonts w:ascii="Times New Roman" w:hAnsi="Times New Roman"/>
          <w:b/>
          <w:bCs/>
          <w:sz w:val="32"/>
          <w:szCs w:val="32"/>
          <w:lang w:eastAsia="zh-CN"/>
        </w:rPr>
      </w:pPr>
    </w:p>
    <w:p w14:paraId="635A56D0">
      <w:pPr>
        <w:pStyle w:val="24"/>
        <w:rPr>
          <w:rFonts w:ascii="Times New Roman" w:hAnsi="Times New Roman"/>
          <w:b/>
          <w:bCs/>
          <w:sz w:val="32"/>
          <w:szCs w:val="32"/>
          <w:lang w:eastAsia="zh-CN"/>
        </w:rPr>
      </w:pPr>
    </w:p>
    <w:p w14:paraId="0B31702B">
      <w:pPr>
        <w:pStyle w:val="24"/>
        <w:rPr>
          <w:rFonts w:ascii="Times New Roman" w:hAnsi="Times New Roman"/>
          <w:b/>
          <w:bCs/>
          <w:sz w:val="32"/>
          <w:szCs w:val="32"/>
          <w:lang w:eastAsia="zh-CN"/>
        </w:rPr>
      </w:pPr>
    </w:p>
    <w:p w14:paraId="414ED1B3">
      <w:pPr>
        <w:pStyle w:val="24"/>
        <w:rPr>
          <w:rFonts w:ascii="Times New Roman" w:hAnsi="Times New Roman"/>
          <w:b/>
          <w:bCs/>
          <w:sz w:val="32"/>
          <w:szCs w:val="36"/>
          <w:lang w:eastAsia="zh-CN"/>
        </w:rPr>
      </w:pPr>
    </w:p>
    <w:p w14:paraId="0F403D37">
      <w:pPr>
        <w:pStyle w:val="24"/>
        <w:rPr>
          <w:rFonts w:ascii="Times New Roman" w:hAnsi="Times New Roman"/>
          <w:b/>
          <w:bCs/>
          <w:sz w:val="32"/>
          <w:szCs w:val="36"/>
          <w:lang w:eastAsia="zh-CN"/>
        </w:rPr>
      </w:pPr>
    </w:p>
    <w:p w14:paraId="10CCAC82">
      <w:pPr>
        <w:pStyle w:val="24"/>
        <w:rPr>
          <w:rFonts w:ascii="Times New Roman" w:hAnsi="Times New Roman"/>
          <w:b/>
          <w:bCs/>
          <w:sz w:val="32"/>
          <w:szCs w:val="36"/>
          <w:lang w:eastAsia="zh-CN"/>
        </w:rPr>
      </w:pPr>
    </w:p>
    <w:p w14:paraId="079F937D">
      <w:pPr>
        <w:pStyle w:val="24"/>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参比人</w:t>
      </w:r>
      <w:r>
        <w:rPr>
          <w:rFonts w:ascii="Times New Roman" w:hAnsi="Times New Roman"/>
          <w:b/>
          <w:bCs/>
          <w:w w:val="95"/>
          <w:sz w:val="32"/>
          <w:szCs w:val="32"/>
          <w:lang w:eastAsia="zh-CN"/>
        </w:rPr>
        <w:t>：</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14:paraId="09E5F26D">
      <w:pPr>
        <w:pStyle w:val="24"/>
        <w:jc w:val="center"/>
        <w:rPr>
          <w:rFonts w:ascii="Times New Roman" w:hAnsi="Times New Roman"/>
          <w:b/>
          <w:bCs/>
          <w:w w:val="95"/>
          <w:sz w:val="32"/>
          <w:lang w:eastAsia="zh-CN"/>
        </w:rPr>
      </w:pPr>
    </w:p>
    <w:p w14:paraId="0AC50021">
      <w:pPr>
        <w:pStyle w:val="24"/>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w:t>
      </w:r>
      <w:r>
        <w:rPr>
          <w:rFonts w:ascii="Times New Roman" w:hAnsi="Times New Roman"/>
          <w:b/>
          <w:bCs/>
          <w:w w:val="95"/>
          <w:sz w:val="32"/>
          <w:lang w:eastAsia="zh-CN"/>
        </w:rPr>
        <w:t>2</w:t>
      </w:r>
      <w:r>
        <w:rPr>
          <w:rFonts w:hint="eastAsia" w:ascii="Times New Roman" w:hAnsi="Times New Roman"/>
          <w:b/>
          <w:bCs/>
          <w:w w:val="95"/>
          <w:sz w:val="32"/>
          <w:lang w:eastAsia="zh-CN"/>
        </w:rPr>
        <w:t>6</w:t>
      </w:r>
      <w:r>
        <w:rPr>
          <w:rFonts w:ascii="Times New Roman" w:hAnsi="Times New Roman"/>
          <w:b/>
          <w:bCs/>
          <w:w w:val="95"/>
          <w:sz w:val="32"/>
          <w:lang w:eastAsia="zh-CN"/>
        </w:rPr>
        <w:t>年</w:t>
      </w:r>
      <w:r>
        <w:rPr>
          <w:rFonts w:hint="eastAsia" w:ascii="Times New Roman" w:hAnsi="Times New Roman"/>
          <w:b/>
          <w:bCs/>
          <w:w w:val="95"/>
          <w:sz w:val="32"/>
          <w:lang w:eastAsia="zh-CN"/>
        </w:rPr>
        <w:t>11</w:t>
      </w:r>
      <w:r>
        <w:rPr>
          <w:rFonts w:ascii="Times New Roman" w:hAnsi="Times New Roman"/>
          <w:b/>
          <w:bCs/>
          <w:w w:val="95"/>
          <w:sz w:val="32"/>
          <w:lang w:eastAsia="zh-CN"/>
        </w:rPr>
        <w:t>月</w:t>
      </w:r>
    </w:p>
    <w:p w14:paraId="69AF867D">
      <w:pPr>
        <w:rPr>
          <w:lang w:eastAsia="zh-CN"/>
        </w:rPr>
      </w:pPr>
    </w:p>
    <w:p w14:paraId="770F3916">
      <w:pPr>
        <w:pStyle w:val="54"/>
      </w:pPr>
    </w:p>
    <w:p w14:paraId="25122458">
      <w:pPr>
        <w:pStyle w:val="54"/>
      </w:pPr>
    </w:p>
    <w:p w14:paraId="28085A35">
      <w:pPr>
        <w:spacing w:line="500" w:lineRule="exact"/>
        <w:rPr>
          <w:b/>
          <w:bCs/>
          <w:sz w:val="36"/>
          <w:szCs w:val="36"/>
          <w:lang w:eastAsia="zh-CN"/>
        </w:rPr>
      </w:pPr>
    </w:p>
    <w:p w14:paraId="3A3EB41E">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14:paraId="27CADE7D">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14:paraId="3E2DC7E6">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1．参比人应按规定，向询比人递交参选文件，正本一份、副本一份，当正本与副本有不一致时，以正本为准。</w:t>
      </w:r>
    </w:p>
    <w:p w14:paraId="2F84962D">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纸胶装、平装。所有参选文件应增加统一外层包封。</w:t>
      </w:r>
    </w:p>
    <w:p w14:paraId="15F3A8A3">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3.提交参选文件时提供两个包装，参选文件（含商务、技术）一个包装、报价表一个包装</w:t>
      </w:r>
      <w:r>
        <w:rPr>
          <w:rFonts w:cs="Times New Roman"/>
          <w:bCs w:val="0"/>
          <w:color w:val="C00000"/>
          <w:sz w:val="24"/>
          <w:szCs w:val="24"/>
          <w:lang w:eastAsia="zh-CN"/>
        </w:rPr>
        <w:t>,</w:t>
      </w:r>
      <w:r>
        <w:rPr>
          <w:rFonts w:hint="eastAsia" w:cs="Times New Roman"/>
          <w:bCs w:val="0"/>
          <w:color w:val="C00000"/>
          <w:sz w:val="24"/>
          <w:szCs w:val="24"/>
          <w:lang w:eastAsia="zh-CN"/>
        </w:rPr>
        <w:t>封口处均需加盖骑缝章。</w:t>
      </w:r>
    </w:p>
    <w:p w14:paraId="6FFE1C86">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4.凡因参选文件不按规定填写，或填写不清晰、不完整、或密封不合要求而引起的一切后果，由参比人自行负责。</w:t>
      </w:r>
    </w:p>
    <w:p w14:paraId="65837909">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5.参选文件正本必须逐页或骑缝加盖参比人公章或由法人代表或法人代表授权人逐页签字方视为有效，同时应注明提交日期，否则视为废标。</w:t>
      </w:r>
    </w:p>
    <w:p w14:paraId="2F1082F2">
      <w:pPr>
        <w:pStyle w:val="72"/>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6.在外层包封上应写明参比人的名称与地址、邮政编码，以便参选出现逾期送达时能原封退回。具体样式如下：</w:t>
      </w:r>
    </w:p>
    <w:p w14:paraId="19A8BACA">
      <w:pPr>
        <w:rPr>
          <w:szCs w:val="21"/>
          <w:lang w:eastAsia="zh-CN"/>
        </w:rPr>
      </w:pPr>
      <w:r>
        <w:rPr>
          <w:rFonts w:ascii="Calibri"/>
          <w:lang w:eastAsia="zh-CN"/>
        </w:rPr>
        <mc:AlternateContent>
          <mc:Choice Requires="wps">
            <w:drawing>
              <wp:anchor distT="0" distB="0" distL="114300" distR="114300" simplePos="0" relativeHeight="251660288" behindDoc="0" locked="0" layoutInCell="1" allowOverlap="1">
                <wp:simplePos x="0" y="0"/>
                <wp:positionH relativeFrom="column">
                  <wp:posOffset>66675</wp:posOffset>
                </wp:positionH>
                <wp:positionV relativeFrom="paragraph">
                  <wp:posOffset>6350</wp:posOffset>
                </wp:positionV>
                <wp:extent cx="4612640" cy="1869440"/>
                <wp:effectExtent l="0" t="0" r="16510" b="16510"/>
                <wp:wrapNone/>
                <wp:docPr id="3"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612640" cy="1869440"/>
                        </a:xfrm>
                        <a:prstGeom prst="rect">
                          <a:avLst/>
                        </a:prstGeom>
                        <a:solidFill>
                          <a:srgbClr val="FFFFFF"/>
                        </a:solidFill>
                        <a:ln w="9525">
                          <a:solidFill>
                            <a:srgbClr val="000000"/>
                          </a:solidFill>
                          <a:miter lim="800000"/>
                        </a:ln>
                      </wps:spPr>
                      <wps:txbx>
                        <w:txbxContent>
                          <w:p w14:paraId="60F14EC9">
                            <w:pPr>
                              <w:rPr>
                                <w:rFonts w:cs="Arial"/>
                                <w:sz w:val="24"/>
                                <w:szCs w:val="24"/>
                                <w:u w:val="single"/>
                                <w:lang w:eastAsia="zh-CN"/>
                              </w:rPr>
                            </w:pPr>
                            <w:r>
                              <w:rPr>
                                <w:rFonts w:hint="eastAsia" w:cs="Arial"/>
                                <w:sz w:val="24"/>
                                <w:szCs w:val="24"/>
                                <w:lang w:eastAsia="zh-CN"/>
                              </w:rPr>
                              <w:t>询比项目：</w:t>
                            </w:r>
                            <w:r>
                              <w:rPr>
                                <w:rFonts w:cs="Arial"/>
                                <w:sz w:val="24"/>
                                <w:szCs w:val="24"/>
                                <w:u w:val="single"/>
                                <w:lang w:eastAsia="zh-CN"/>
                              </w:rPr>
                              <w:t xml:space="preserve">                                      </w:t>
                            </w:r>
                          </w:p>
                          <w:p w14:paraId="256204CF">
                            <w:pPr>
                              <w:rPr>
                                <w:rFonts w:cs="Arial"/>
                                <w:sz w:val="24"/>
                                <w:szCs w:val="24"/>
                                <w:u w:val="single"/>
                                <w:lang w:eastAsia="zh-CN"/>
                              </w:rPr>
                            </w:pPr>
                            <w:r>
                              <w:rPr>
                                <w:rFonts w:hint="eastAsia" w:cs="Arial"/>
                                <w:sz w:val="24"/>
                                <w:szCs w:val="24"/>
                                <w:lang w:eastAsia="zh-CN"/>
                              </w:rPr>
                              <w:t>询比人名称：</w:t>
                            </w:r>
                            <w:r>
                              <w:rPr>
                                <w:rFonts w:cs="Arial"/>
                                <w:sz w:val="24"/>
                                <w:szCs w:val="24"/>
                                <w:u w:val="single"/>
                                <w:lang w:eastAsia="zh-CN"/>
                              </w:rPr>
                              <w:t xml:space="preserve">                                    </w:t>
                            </w:r>
                          </w:p>
                          <w:p w14:paraId="12F83F8C">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10CD1BB4">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017091CA">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303B0310">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79F7548D">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5.25pt;margin-top:0.5pt;height:147.2pt;width:363.2pt;z-index:251660288;mso-width-relative:page;mso-height-relative:page;" fillcolor="#FFFFFF" filled="t" stroked="t" coordsize="21600,21600" o:gfxdata="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CP31f7XAAAACAEAAA8AAAAAAAAAAQAgAAAAIgAAAGRy&#10;cy9kb3ducmV2LnhtbFBLAQIUABQAAAAIAIdO4kCAWBPAPwIAAIgEAAAOAAAAAAAAAAEAIAAAACYB&#10;AABkcnMvZTJvRG9jLnhtbFBLBQYAAAAABgAGAFkBAADXBQAAAAA=&#10;">
                <v:fill on="t" focussize="0,0"/>
                <v:stroke color="#000000" miterlimit="8" joinstyle="miter"/>
                <v:imagedata o:title=""/>
                <o:lock v:ext="edit" aspectratio="f"/>
                <v:textbox>
                  <w:txbxContent>
                    <w:p w14:paraId="60F14EC9">
                      <w:pPr>
                        <w:rPr>
                          <w:rFonts w:cs="Arial"/>
                          <w:sz w:val="24"/>
                          <w:szCs w:val="24"/>
                          <w:u w:val="single"/>
                          <w:lang w:eastAsia="zh-CN"/>
                        </w:rPr>
                      </w:pPr>
                      <w:r>
                        <w:rPr>
                          <w:rFonts w:hint="eastAsia" w:cs="Arial"/>
                          <w:sz w:val="24"/>
                          <w:szCs w:val="24"/>
                          <w:lang w:eastAsia="zh-CN"/>
                        </w:rPr>
                        <w:t>询比项目：</w:t>
                      </w:r>
                      <w:r>
                        <w:rPr>
                          <w:rFonts w:cs="Arial"/>
                          <w:sz w:val="24"/>
                          <w:szCs w:val="24"/>
                          <w:u w:val="single"/>
                          <w:lang w:eastAsia="zh-CN"/>
                        </w:rPr>
                        <w:t xml:space="preserve">                                      </w:t>
                      </w:r>
                    </w:p>
                    <w:p w14:paraId="256204CF">
                      <w:pPr>
                        <w:rPr>
                          <w:rFonts w:cs="Arial"/>
                          <w:sz w:val="24"/>
                          <w:szCs w:val="24"/>
                          <w:u w:val="single"/>
                          <w:lang w:eastAsia="zh-CN"/>
                        </w:rPr>
                      </w:pPr>
                      <w:r>
                        <w:rPr>
                          <w:rFonts w:hint="eastAsia" w:cs="Arial"/>
                          <w:sz w:val="24"/>
                          <w:szCs w:val="24"/>
                          <w:lang w:eastAsia="zh-CN"/>
                        </w:rPr>
                        <w:t>询比人名称：</w:t>
                      </w:r>
                      <w:r>
                        <w:rPr>
                          <w:rFonts w:cs="Arial"/>
                          <w:sz w:val="24"/>
                          <w:szCs w:val="24"/>
                          <w:u w:val="single"/>
                          <w:lang w:eastAsia="zh-CN"/>
                        </w:rPr>
                        <w:t xml:space="preserve">                                    </w:t>
                      </w:r>
                    </w:p>
                    <w:p w14:paraId="12F83F8C">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14:paraId="10CD1BB4">
                      <w:pPr>
                        <w:rPr>
                          <w:rFonts w:cs="Arial"/>
                          <w:sz w:val="24"/>
                          <w:szCs w:val="24"/>
                          <w:lang w:eastAsia="zh-CN"/>
                        </w:rPr>
                      </w:pPr>
                      <w:r>
                        <w:rPr>
                          <w:rFonts w:hint="eastAsia" w:cs="Arial"/>
                          <w:sz w:val="24"/>
                          <w:szCs w:val="24"/>
                          <w:lang w:eastAsia="zh-CN"/>
                        </w:rPr>
                        <w:t>参比人名称：</w:t>
                      </w:r>
                      <w:r>
                        <w:rPr>
                          <w:rFonts w:cs="Arial"/>
                          <w:sz w:val="24"/>
                          <w:szCs w:val="24"/>
                          <w:u w:val="single"/>
                          <w:lang w:eastAsia="zh-CN"/>
                        </w:rPr>
                        <w:t xml:space="preserve">                      </w:t>
                      </w:r>
                      <w:r>
                        <w:rPr>
                          <w:rFonts w:hint="eastAsia" w:cs="Arial"/>
                          <w:sz w:val="24"/>
                          <w:szCs w:val="24"/>
                          <w:lang w:eastAsia="zh-CN"/>
                        </w:rPr>
                        <w:t>（公章）</w:t>
                      </w:r>
                    </w:p>
                    <w:p w14:paraId="017091CA">
                      <w:pPr>
                        <w:rPr>
                          <w:rFonts w:cs="Arial"/>
                          <w:sz w:val="24"/>
                          <w:szCs w:val="24"/>
                          <w:u w:val="single"/>
                          <w:lang w:eastAsia="zh-CN"/>
                        </w:rPr>
                      </w:pPr>
                      <w:r>
                        <w:rPr>
                          <w:rFonts w:hint="eastAsia" w:cs="Arial"/>
                          <w:sz w:val="24"/>
                          <w:szCs w:val="24"/>
                          <w:lang w:eastAsia="zh-CN"/>
                        </w:rPr>
                        <w:t>参比人地址、邮编：</w:t>
                      </w:r>
                      <w:r>
                        <w:rPr>
                          <w:rFonts w:cs="Arial"/>
                          <w:sz w:val="24"/>
                          <w:szCs w:val="24"/>
                          <w:u w:val="single"/>
                          <w:lang w:eastAsia="zh-CN"/>
                        </w:rPr>
                        <w:t xml:space="preserve">                         </w:t>
                      </w:r>
                    </w:p>
                    <w:p w14:paraId="303B0310">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14:paraId="79F7548D">
                      <w:pPr>
                        <w:rPr>
                          <w:sz w:val="24"/>
                          <w:szCs w:val="24"/>
                          <w:lang w:eastAsia="zh-CN"/>
                        </w:rPr>
                      </w:pPr>
                      <w:r>
                        <w:rPr>
                          <w:rFonts w:hint="eastAsia" w:cs="Arial"/>
                          <w:sz w:val="24"/>
                          <w:szCs w:val="24"/>
                          <w:lang w:eastAsia="zh-CN"/>
                        </w:rPr>
                        <w:t>参比人联系人及联系电话：</w:t>
                      </w:r>
                      <w:r>
                        <w:rPr>
                          <w:rFonts w:cs="Arial"/>
                          <w:sz w:val="24"/>
                          <w:szCs w:val="24"/>
                          <w:u w:val="single"/>
                          <w:lang w:eastAsia="zh-CN"/>
                        </w:rPr>
                        <w:t xml:space="preserve">                   </w:t>
                      </w:r>
                    </w:p>
                  </w:txbxContent>
                </v:textbox>
              </v:shape>
            </w:pict>
          </mc:Fallback>
        </mc:AlternateContent>
      </w:r>
    </w:p>
    <w:p w14:paraId="02E164BE">
      <w:pPr>
        <w:rPr>
          <w:szCs w:val="21"/>
          <w:lang w:eastAsia="zh-CN"/>
        </w:rPr>
      </w:pPr>
    </w:p>
    <w:p w14:paraId="41AAA985">
      <w:pPr>
        <w:rPr>
          <w:szCs w:val="21"/>
          <w:lang w:eastAsia="zh-CN"/>
        </w:rPr>
      </w:pPr>
    </w:p>
    <w:p w14:paraId="1D8054EE">
      <w:pPr>
        <w:rPr>
          <w:szCs w:val="21"/>
          <w:lang w:eastAsia="zh-CN"/>
        </w:rPr>
      </w:pPr>
    </w:p>
    <w:p w14:paraId="2C2DA42A">
      <w:pPr>
        <w:rPr>
          <w:szCs w:val="21"/>
          <w:lang w:eastAsia="zh-CN"/>
        </w:rPr>
      </w:pPr>
    </w:p>
    <w:p w14:paraId="046F7DED">
      <w:pPr>
        <w:rPr>
          <w:szCs w:val="21"/>
          <w:lang w:eastAsia="zh-CN"/>
        </w:rPr>
      </w:pPr>
    </w:p>
    <w:p w14:paraId="35BFF67B">
      <w:pPr>
        <w:rPr>
          <w:szCs w:val="21"/>
          <w:lang w:eastAsia="zh-CN"/>
        </w:rPr>
      </w:pPr>
    </w:p>
    <w:p w14:paraId="257BCBEE">
      <w:pPr>
        <w:rPr>
          <w:szCs w:val="21"/>
          <w:lang w:eastAsia="zh-CN"/>
        </w:rPr>
      </w:pPr>
    </w:p>
    <w:p w14:paraId="77300CBD">
      <w:pPr>
        <w:pStyle w:val="72"/>
        <w:spacing w:beforeLines="0" w:afterLines="0" w:line="240" w:lineRule="auto"/>
        <w:ind w:firstLine="618" w:firstLineChars="221"/>
        <w:rPr>
          <w:rFonts w:cs="Times New Roman"/>
          <w:bCs w:val="0"/>
          <w:color w:val="C00000"/>
          <w:lang w:eastAsia="zh-CN"/>
        </w:rPr>
      </w:pPr>
    </w:p>
    <w:p w14:paraId="1952BFC8">
      <w:pPr>
        <w:pStyle w:val="72"/>
        <w:spacing w:beforeLines="0" w:afterLines="0"/>
        <w:ind w:firstLine="480"/>
        <w:rPr>
          <w:rFonts w:cs="Times New Roman"/>
          <w:bCs w:val="0"/>
          <w:color w:val="C00000"/>
          <w:sz w:val="24"/>
          <w:szCs w:val="24"/>
          <w:lang w:eastAsia="zh-CN"/>
        </w:rPr>
      </w:pPr>
      <w:r>
        <w:rPr>
          <w:rFonts w:hint="eastAsia" w:cs="Times New Roman"/>
          <w:bCs w:val="0"/>
          <w:color w:val="C00000"/>
          <w:sz w:val="24"/>
          <w:szCs w:val="24"/>
          <w:lang w:eastAsia="zh-CN"/>
        </w:rPr>
        <w:t>7、以下文件中</w:t>
      </w:r>
      <w:r>
        <w:rPr>
          <w:rFonts w:hint="eastAsia" w:cs="Times New Roman"/>
          <w:b/>
          <w:color w:val="00B050"/>
          <w:sz w:val="24"/>
          <w:szCs w:val="24"/>
          <w:lang w:eastAsia="zh-CN"/>
        </w:rPr>
        <w:t>绿色</w:t>
      </w:r>
      <w:r>
        <w:rPr>
          <w:rFonts w:hint="eastAsia" w:cs="Times New Roman"/>
          <w:bCs w:val="0"/>
          <w:color w:val="C00000"/>
          <w:sz w:val="24"/>
          <w:szCs w:val="24"/>
          <w:lang w:eastAsia="zh-CN"/>
        </w:rPr>
        <w:t>字体部分，请各参选单位根据实际情况填写后，修改为</w:t>
      </w:r>
      <w:r>
        <w:rPr>
          <w:rFonts w:hint="eastAsia" w:cs="Times New Roman"/>
          <w:b/>
          <w:color w:val="C00000"/>
          <w:sz w:val="24"/>
          <w:szCs w:val="24"/>
          <w:lang w:eastAsia="zh-CN"/>
        </w:rPr>
        <w:t>黑色（不加粗）</w:t>
      </w:r>
      <w:r>
        <w:rPr>
          <w:rFonts w:hint="eastAsia" w:cs="Times New Roman"/>
          <w:bCs w:val="0"/>
          <w:color w:val="C00000"/>
          <w:sz w:val="24"/>
          <w:szCs w:val="24"/>
          <w:lang w:eastAsia="zh-CN"/>
        </w:rPr>
        <w:t>字体打印。目录页码请根据实际情况编写。</w:t>
      </w:r>
    </w:p>
    <w:p w14:paraId="35E3F547">
      <w:pPr>
        <w:pStyle w:val="72"/>
        <w:spacing w:beforeLines="0" w:afterLines="0"/>
        <w:ind w:firstLine="480"/>
        <w:rPr>
          <w:rFonts w:cs="Times New Roman"/>
          <w:color w:val="C00000"/>
          <w:sz w:val="24"/>
          <w:szCs w:val="24"/>
          <w:lang w:eastAsia="zh-CN"/>
        </w:rPr>
      </w:pPr>
      <w:r>
        <w:rPr>
          <w:rFonts w:hint="eastAsia" w:cs="Times New Roman"/>
          <w:color w:val="C00000"/>
          <w:sz w:val="24"/>
          <w:szCs w:val="24"/>
          <w:lang w:eastAsia="zh-CN"/>
        </w:rPr>
        <w:t>8、以下文件中红色字体部分，打印时请删除。</w:t>
      </w:r>
    </w:p>
    <w:p w14:paraId="5DB9590A">
      <w:pPr>
        <w:pStyle w:val="54"/>
        <w:rPr>
          <w:b/>
          <w:sz w:val="32"/>
          <w:szCs w:val="32"/>
        </w:rPr>
      </w:pPr>
      <w:r>
        <w:rPr>
          <w:rFonts w:hint="eastAsia"/>
          <w:b/>
          <w:sz w:val="32"/>
          <w:szCs w:val="32"/>
        </w:rPr>
        <w:t>附件1、</w:t>
      </w:r>
    </w:p>
    <w:p w14:paraId="5A760563">
      <w:pPr>
        <w:pStyle w:val="24"/>
        <w:jc w:val="center"/>
        <w:rPr>
          <w:rFonts w:ascii="Times New Roman" w:hAnsi="Times New Roman"/>
          <w:b/>
          <w:sz w:val="52"/>
          <w:szCs w:val="52"/>
          <w:lang w:eastAsia="zh-CN"/>
        </w:rPr>
      </w:pPr>
    </w:p>
    <w:p w14:paraId="57DDDD12">
      <w:pPr>
        <w:spacing w:line="360" w:lineRule="auto"/>
        <w:ind w:firstLine="480" w:firstLineChars="200"/>
        <w:rPr>
          <w:color w:val="000000"/>
          <w:sz w:val="24"/>
          <w:szCs w:val="24"/>
          <w:lang w:eastAsia="zh-CN"/>
        </w:rPr>
      </w:pPr>
      <w:r>
        <w:rPr>
          <w:rFonts w:hint="eastAsia"/>
          <w:color w:val="000000"/>
          <w:sz w:val="24"/>
          <w:szCs w:val="24"/>
          <w:lang w:eastAsia="zh-CN"/>
        </w:rPr>
        <w:t>1、参选单位企业概况（包含但不限于企业简介、营业执照、开户许可证、资质证书、拟投入本项目的人员信息、以往承揽类似业绩的合同等其他可以证明参比人具有良好业绩的相关材料，凡弄虚作假的，一经查实，询比人有权取消其中选资格）。</w:t>
      </w:r>
    </w:p>
    <w:p w14:paraId="2D42C35F">
      <w:pPr>
        <w:pStyle w:val="54"/>
        <w:spacing w:line="360" w:lineRule="auto"/>
        <w:rPr>
          <w:sz w:val="24"/>
          <w:szCs w:val="24"/>
        </w:rPr>
      </w:pPr>
      <w:r>
        <w:rPr>
          <w:rFonts w:hint="eastAsia"/>
          <w:sz w:val="24"/>
          <w:szCs w:val="24"/>
        </w:rPr>
        <w:t xml:space="preserve">    2、参选单位针对本项目提出的评估方案书（根据发包说明书中产品目标、内容及技术性能要求编制）。</w:t>
      </w:r>
    </w:p>
    <w:p w14:paraId="6278162C">
      <w:pPr>
        <w:spacing w:line="360" w:lineRule="auto"/>
        <w:rPr>
          <w:color w:val="000000"/>
          <w:sz w:val="24"/>
          <w:szCs w:val="24"/>
          <w:lang w:eastAsia="zh-CN"/>
        </w:rPr>
      </w:pPr>
    </w:p>
    <w:p w14:paraId="6DDFF3E7">
      <w:pPr>
        <w:spacing w:line="520" w:lineRule="exact"/>
        <w:rPr>
          <w:i/>
          <w:color w:val="FF0000"/>
          <w:sz w:val="28"/>
          <w:szCs w:val="28"/>
          <w:lang w:eastAsia="zh-CN"/>
        </w:rPr>
      </w:pPr>
      <w:r>
        <w:rPr>
          <w:rFonts w:hint="eastAsia"/>
          <w:i/>
          <w:color w:val="FF0000"/>
          <w:sz w:val="28"/>
          <w:szCs w:val="28"/>
          <w:lang w:eastAsia="zh-CN"/>
        </w:rPr>
        <w:t>本部分内容由参选单位自行编制，不做格式要求。</w:t>
      </w:r>
    </w:p>
    <w:p w14:paraId="6A2B18DF">
      <w:pPr>
        <w:pStyle w:val="54"/>
        <w:rPr>
          <w:b/>
          <w:bCs/>
          <w:sz w:val="36"/>
          <w:szCs w:val="36"/>
        </w:rPr>
      </w:pPr>
    </w:p>
    <w:p w14:paraId="577D3DAF">
      <w:pPr>
        <w:pStyle w:val="54"/>
        <w:rPr>
          <w:b/>
          <w:bCs/>
          <w:sz w:val="36"/>
          <w:szCs w:val="36"/>
        </w:rPr>
      </w:pPr>
    </w:p>
    <w:p w14:paraId="299E0467">
      <w:pPr>
        <w:pStyle w:val="54"/>
        <w:rPr>
          <w:b/>
          <w:bCs/>
          <w:sz w:val="36"/>
          <w:szCs w:val="36"/>
        </w:rPr>
      </w:pPr>
    </w:p>
    <w:p w14:paraId="28753A14">
      <w:pPr>
        <w:spacing w:line="500" w:lineRule="exact"/>
        <w:rPr>
          <w:b/>
          <w:bCs/>
          <w:sz w:val="36"/>
          <w:szCs w:val="36"/>
          <w:lang w:eastAsia="zh-CN"/>
        </w:rPr>
      </w:pPr>
    </w:p>
    <w:p w14:paraId="73E16F0C">
      <w:pPr>
        <w:pStyle w:val="54"/>
        <w:rPr>
          <w:b/>
          <w:bCs/>
          <w:sz w:val="36"/>
          <w:szCs w:val="36"/>
        </w:rPr>
      </w:pPr>
    </w:p>
    <w:p w14:paraId="1AC7BE83">
      <w:pPr>
        <w:pStyle w:val="54"/>
        <w:rPr>
          <w:b/>
          <w:bCs/>
          <w:sz w:val="36"/>
          <w:szCs w:val="36"/>
        </w:rPr>
      </w:pPr>
    </w:p>
    <w:p w14:paraId="3C2257E2">
      <w:pPr>
        <w:pStyle w:val="54"/>
      </w:pPr>
    </w:p>
    <w:p w14:paraId="5FC1CB07">
      <w:pPr>
        <w:pStyle w:val="54"/>
      </w:pPr>
    </w:p>
    <w:p w14:paraId="51FEEEE7">
      <w:pPr>
        <w:pStyle w:val="54"/>
      </w:pPr>
    </w:p>
    <w:p w14:paraId="44671007">
      <w:pPr>
        <w:pStyle w:val="54"/>
      </w:pPr>
    </w:p>
    <w:p w14:paraId="7F11EBDC">
      <w:pPr>
        <w:pStyle w:val="54"/>
      </w:pPr>
    </w:p>
    <w:p w14:paraId="383ED269">
      <w:pPr>
        <w:pStyle w:val="54"/>
        <w:rPr>
          <w:sz w:val="32"/>
          <w:szCs w:val="32"/>
        </w:rPr>
      </w:pPr>
    </w:p>
    <w:p w14:paraId="74723FE1">
      <w:pPr>
        <w:pStyle w:val="54"/>
        <w:rPr>
          <w:sz w:val="32"/>
          <w:szCs w:val="32"/>
        </w:rPr>
      </w:pPr>
    </w:p>
    <w:p w14:paraId="4ED96E1D">
      <w:pPr>
        <w:pStyle w:val="54"/>
        <w:rPr>
          <w:sz w:val="32"/>
          <w:szCs w:val="32"/>
        </w:rPr>
      </w:pPr>
    </w:p>
    <w:p w14:paraId="7E22FAA0">
      <w:pPr>
        <w:pStyle w:val="54"/>
        <w:rPr>
          <w:sz w:val="32"/>
          <w:szCs w:val="32"/>
        </w:rPr>
      </w:pPr>
    </w:p>
    <w:p w14:paraId="2E7A3E10">
      <w:pPr>
        <w:pStyle w:val="54"/>
        <w:rPr>
          <w:sz w:val="32"/>
          <w:szCs w:val="32"/>
        </w:rPr>
      </w:pPr>
    </w:p>
    <w:p w14:paraId="2669D764">
      <w:pPr>
        <w:pStyle w:val="54"/>
        <w:rPr>
          <w:sz w:val="32"/>
          <w:szCs w:val="32"/>
        </w:rPr>
      </w:pPr>
    </w:p>
    <w:p w14:paraId="2541451C">
      <w:pPr>
        <w:pStyle w:val="54"/>
        <w:rPr>
          <w:sz w:val="32"/>
          <w:szCs w:val="32"/>
        </w:rPr>
      </w:pPr>
    </w:p>
    <w:p w14:paraId="7B9ADE0E">
      <w:pPr>
        <w:pStyle w:val="54"/>
        <w:rPr>
          <w:sz w:val="32"/>
          <w:szCs w:val="32"/>
        </w:rPr>
      </w:pPr>
    </w:p>
    <w:p w14:paraId="14F98AC5">
      <w:pPr>
        <w:pStyle w:val="54"/>
        <w:rPr>
          <w:sz w:val="32"/>
          <w:szCs w:val="32"/>
        </w:rPr>
      </w:pPr>
    </w:p>
    <w:p w14:paraId="5EDFFF78">
      <w:pPr>
        <w:pStyle w:val="54"/>
        <w:rPr>
          <w:sz w:val="32"/>
          <w:szCs w:val="32"/>
        </w:rPr>
      </w:pPr>
      <w:r>
        <w:rPr>
          <w:rFonts w:hint="eastAsia"/>
          <w:sz w:val="32"/>
          <w:szCs w:val="32"/>
        </w:rPr>
        <w:t>附件2、</w:t>
      </w:r>
    </w:p>
    <w:p w14:paraId="385CB424">
      <w:pPr>
        <w:pStyle w:val="54"/>
      </w:pPr>
    </w:p>
    <w:p w14:paraId="19042513">
      <w:pPr>
        <w:spacing w:line="500" w:lineRule="exact"/>
        <w:jc w:val="center"/>
        <w:rPr>
          <w:b/>
          <w:bCs/>
          <w:sz w:val="36"/>
          <w:szCs w:val="36"/>
          <w:lang w:eastAsia="zh-CN"/>
        </w:rPr>
      </w:pPr>
      <w:r>
        <w:rPr>
          <w:rFonts w:hint="eastAsia"/>
          <w:b/>
          <w:bCs/>
          <w:sz w:val="36"/>
          <w:szCs w:val="36"/>
          <w:lang w:eastAsia="zh-CN"/>
        </w:rPr>
        <w:t>参选书</w:t>
      </w:r>
    </w:p>
    <w:p w14:paraId="60883198">
      <w:pPr>
        <w:spacing w:line="500" w:lineRule="exact"/>
        <w:rPr>
          <w:sz w:val="24"/>
          <w:lang w:eastAsia="zh-CN"/>
        </w:rPr>
      </w:pPr>
    </w:p>
    <w:p w14:paraId="675625B6">
      <w:pPr>
        <w:spacing w:line="500" w:lineRule="exact"/>
        <w:rPr>
          <w:sz w:val="24"/>
          <w:lang w:eastAsia="zh-CN"/>
        </w:rPr>
      </w:pPr>
      <w:r>
        <w:rPr>
          <w:rFonts w:hint="eastAsia"/>
          <w:sz w:val="24"/>
          <w:lang w:eastAsia="zh-CN"/>
        </w:rPr>
        <w:t>致：福建福海创石油化工有限公司</w:t>
      </w:r>
    </w:p>
    <w:p w14:paraId="4188A83F">
      <w:pPr>
        <w:spacing w:line="500" w:lineRule="exact"/>
        <w:ind w:firstLine="480" w:firstLineChars="200"/>
        <w:rPr>
          <w:sz w:val="24"/>
          <w:lang w:eastAsia="zh-CN"/>
        </w:rPr>
      </w:pPr>
      <w:r>
        <w:rPr>
          <w:rFonts w:hint="eastAsia"/>
          <w:sz w:val="24"/>
          <w:lang w:eastAsia="zh-CN"/>
        </w:rPr>
        <w:t xml:space="preserve"> 根据贵方的询比文件， </w:t>
      </w:r>
      <w:r>
        <w:rPr>
          <w:rFonts w:hint="eastAsia" w:cs="Times New Roman"/>
          <w:color w:val="00B050"/>
          <w:sz w:val="28"/>
          <w:szCs w:val="28"/>
          <w:u w:val="single"/>
          <w:lang w:eastAsia="zh-CN"/>
        </w:rPr>
        <w:t>被授权代表人姓名</w:t>
      </w:r>
      <w:r>
        <w:rPr>
          <w:rFonts w:hint="eastAsia"/>
          <w:sz w:val="24"/>
          <w:lang w:eastAsia="zh-CN"/>
        </w:rPr>
        <w:t>被我方正式授权并代表我公司</w:t>
      </w:r>
      <w:r>
        <w:rPr>
          <w:rFonts w:hint="eastAsia" w:cs="Times New Roman"/>
          <w:color w:val="00B050"/>
          <w:sz w:val="28"/>
          <w:szCs w:val="28"/>
          <w:u w:val="single"/>
          <w:lang w:eastAsia="zh-CN"/>
        </w:rPr>
        <w:t>单位名称</w:t>
      </w:r>
      <w:r>
        <w:rPr>
          <w:rFonts w:hint="eastAsia"/>
          <w:sz w:val="24"/>
          <w:lang w:eastAsia="zh-CN"/>
        </w:rPr>
        <w:t>递交下述文件，并对此负责。</w:t>
      </w:r>
    </w:p>
    <w:p w14:paraId="4FDB376F">
      <w:pPr>
        <w:spacing w:line="360" w:lineRule="auto"/>
        <w:ind w:firstLine="480" w:firstLineChars="200"/>
        <w:rPr>
          <w:sz w:val="24"/>
          <w:lang w:eastAsia="zh-CN"/>
        </w:rPr>
      </w:pPr>
      <w:r>
        <w:rPr>
          <w:rFonts w:hint="eastAsia"/>
          <w:sz w:val="24"/>
          <w:lang w:eastAsia="zh-CN"/>
        </w:rPr>
        <w:t>（1）参选文件</w:t>
      </w:r>
    </w:p>
    <w:p w14:paraId="780AFF6A">
      <w:pPr>
        <w:spacing w:line="360" w:lineRule="auto"/>
        <w:ind w:firstLine="480" w:firstLineChars="200"/>
        <w:rPr>
          <w:sz w:val="24"/>
          <w:lang w:eastAsia="zh-CN"/>
        </w:rPr>
      </w:pPr>
      <w:r>
        <w:rPr>
          <w:rFonts w:hint="eastAsia"/>
          <w:sz w:val="24"/>
          <w:lang w:eastAsia="zh-CN"/>
        </w:rPr>
        <w:t>（2）法定代表人授权委托书</w:t>
      </w:r>
    </w:p>
    <w:p w14:paraId="7ABE3E38">
      <w:pPr>
        <w:spacing w:line="360" w:lineRule="auto"/>
        <w:ind w:firstLine="480" w:firstLineChars="200"/>
        <w:rPr>
          <w:sz w:val="24"/>
          <w:lang w:eastAsia="zh-CN"/>
        </w:rPr>
      </w:pPr>
      <w:r>
        <w:rPr>
          <w:rFonts w:hint="eastAsia"/>
          <w:sz w:val="24"/>
          <w:lang w:eastAsia="zh-CN"/>
        </w:rPr>
        <w:t>（3）参选报价单</w:t>
      </w:r>
    </w:p>
    <w:p w14:paraId="6D9F89EB">
      <w:pPr>
        <w:pStyle w:val="54"/>
        <w:adjustRightInd/>
        <w:spacing w:line="360" w:lineRule="auto"/>
        <w:rPr>
          <w:sz w:val="24"/>
          <w:szCs w:val="24"/>
        </w:rPr>
      </w:pPr>
      <w:r>
        <w:rPr>
          <w:rFonts w:hint="eastAsia"/>
          <w:sz w:val="24"/>
          <w:szCs w:val="24"/>
        </w:rPr>
        <w:t xml:space="preserve"> </w:t>
      </w:r>
      <w:r>
        <w:rPr>
          <w:sz w:val="24"/>
          <w:szCs w:val="24"/>
        </w:rPr>
        <w:t xml:space="preserve">   </w:t>
      </w:r>
      <w:r>
        <w:rPr>
          <w:rFonts w:hint="eastAsia"/>
          <w:sz w:val="24"/>
          <w:szCs w:val="24"/>
        </w:rPr>
        <w:t>（4）承诺函</w:t>
      </w:r>
    </w:p>
    <w:p w14:paraId="1AE3A56E">
      <w:pPr>
        <w:spacing w:line="360" w:lineRule="auto"/>
        <w:ind w:firstLine="480" w:firstLineChars="200"/>
        <w:rPr>
          <w:sz w:val="24"/>
          <w:lang w:eastAsia="zh-CN"/>
        </w:rPr>
      </w:pPr>
      <w:r>
        <w:rPr>
          <w:rFonts w:hint="eastAsia"/>
          <w:sz w:val="24"/>
          <w:lang w:eastAsia="zh-CN"/>
        </w:rPr>
        <w:t xml:space="preserve"> 据此参选书，我公司及签字代表宣布同意如下：</w:t>
      </w:r>
    </w:p>
    <w:p w14:paraId="1787D12F">
      <w:pPr>
        <w:spacing w:line="500" w:lineRule="exact"/>
        <w:rPr>
          <w:sz w:val="24"/>
          <w:lang w:eastAsia="zh-CN"/>
        </w:rPr>
      </w:pPr>
      <w:r>
        <w:rPr>
          <w:rFonts w:hint="eastAsia"/>
          <w:sz w:val="24"/>
          <w:lang w:eastAsia="zh-CN"/>
        </w:rPr>
        <w:t xml:space="preserve">     1、所递交的文件真实合法有效，且不存在任何虚假陈述或记载。</w:t>
      </w:r>
    </w:p>
    <w:p w14:paraId="26F050F4">
      <w:pPr>
        <w:spacing w:line="500" w:lineRule="exact"/>
        <w:rPr>
          <w:sz w:val="24"/>
          <w:lang w:eastAsia="zh-CN"/>
        </w:rPr>
      </w:pPr>
      <w:r>
        <w:rPr>
          <w:rFonts w:hint="eastAsia"/>
          <w:sz w:val="24"/>
          <w:lang w:eastAsia="zh-CN"/>
        </w:rPr>
        <w:t xml:space="preserve">     2、我方将履行询比文件规定的每一项要求：如业主中选，将严格按照服务合同约定履行各项义务。</w:t>
      </w:r>
    </w:p>
    <w:p w14:paraId="54ACC242">
      <w:pPr>
        <w:spacing w:line="500" w:lineRule="exact"/>
        <w:rPr>
          <w:sz w:val="24"/>
          <w:lang w:eastAsia="zh-CN"/>
        </w:rPr>
      </w:pPr>
      <w:r>
        <w:rPr>
          <w:rFonts w:hint="eastAsia"/>
          <w:sz w:val="24"/>
          <w:lang w:eastAsia="zh-CN"/>
        </w:rPr>
        <w:t xml:space="preserve">     3、我公司报价有效期为询比文件收取时间截止期后30个工作日，如中选，有效期将延长至合同执行完毕。</w:t>
      </w:r>
    </w:p>
    <w:p w14:paraId="264C4C79">
      <w:pPr>
        <w:spacing w:line="500" w:lineRule="exact"/>
        <w:ind w:firstLine="480" w:firstLineChars="200"/>
        <w:rPr>
          <w:sz w:val="24"/>
          <w:lang w:eastAsia="zh-CN"/>
        </w:rPr>
      </w:pPr>
    </w:p>
    <w:p w14:paraId="5A2C8066">
      <w:pPr>
        <w:spacing w:line="500" w:lineRule="exact"/>
        <w:ind w:firstLine="480" w:firstLineChars="200"/>
        <w:rPr>
          <w:sz w:val="24"/>
          <w:lang w:eastAsia="zh-CN"/>
        </w:rPr>
      </w:pPr>
    </w:p>
    <w:p w14:paraId="2C2A9A9D">
      <w:pPr>
        <w:spacing w:line="500" w:lineRule="exact"/>
        <w:ind w:firstLine="480" w:firstLineChars="200"/>
        <w:rPr>
          <w:sz w:val="24"/>
          <w:lang w:eastAsia="zh-CN"/>
        </w:rPr>
      </w:pPr>
      <w:r>
        <w:rPr>
          <w:rFonts w:hint="eastAsia"/>
          <w:sz w:val="24"/>
          <w:lang w:eastAsia="zh-CN"/>
        </w:rPr>
        <w:t>被授权代表姓名：</w:t>
      </w:r>
    </w:p>
    <w:p w14:paraId="2955B842">
      <w:pPr>
        <w:spacing w:line="500" w:lineRule="exact"/>
        <w:ind w:firstLine="480" w:firstLineChars="200"/>
        <w:rPr>
          <w:sz w:val="24"/>
          <w:lang w:eastAsia="zh-CN"/>
        </w:rPr>
      </w:pPr>
      <w:r>
        <w:rPr>
          <w:rFonts w:hint="eastAsia"/>
          <w:sz w:val="24"/>
          <w:lang w:eastAsia="zh-CN"/>
        </w:rPr>
        <w:t xml:space="preserve">        职务：</w:t>
      </w:r>
    </w:p>
    <w:p w14:paraId="514A4159">
      <w:pPr>
        <w:spacing w:line="500" w:lineRule="exact"/>
        <w:ind w:firstLine="480" w:firstLineChars="200"/>
        <w:rPr>
          <w:sz w:val="24"/>
          <w:lang w:eastAsia="zh-CN"/>
        </w:rPr>
      </w:pPr>
      <w:r>
        <w:rPr>
          <w:rFonts w:hint="eastAsia"/>
          <w:sz w:val="24"/>
          <w:lang w:eastAsia="zh-CN"/>
        </w:rPr>
        <w:t xml:space="preserve">        联系方式及邮箱：</w:t>
      </w:r>
    </w:p>
    <w:p w14:paraId="0DBED7BF">
      <w:pPr>
        <w:spacing w:line="500" w:lineRule="exact"/>
        <w:ind w:firstLine="480" w:firstLineChars="200"/>
        <w:rPr>
          <w:sz w:val="24"/>
          <w:lang w:eastAsia="zh-CN"/>
        </w:rPr>
      </w:pPr>
      <w:r>
        <w:rPr>
          <w:rFonts w:hint="eastAsia"/>
          <w:sz w:val="24"/>
          <w:lang w:eastAsia="zh-CN"/>
        </w:rPr>
        <w:t>被授权代表签字：</w:t>
      </w:r>
    </w:p>
    <w:p w14:paraId="602400EE">
      <w:pPr>
        <w:pStyle w:val="54"/>
      </w:pPr>
    </w:p>
    <w:p w14:paraId="0CF33719">
      <w:pPr>
        <w:pStyle w:val="54"/>
        <w:jc w:val="center"/>
        <w:rPr>
          <w:rFonts w:ascii="Times New Roman" w:hAnsi="Times New Roman"/>
          <w:kern w:val="2"/>
          <w:sz w:val="24"/>
          <w:szCs w:val="24"/>
        </w:rPr>
      </w:pPr>
      <w:r>
        <w:rPr>
          <w:rFonts w:hint="eastAsia" w:ascii="Times New Roman" w:hAnsi="Times New Roman"/>
          <w:kern w:val="2"/>
          <w:sz w:val="24"/>
          <w:szCs w:val="24"/>
        </w:rPr>
        <w:t xml:space="preserve">                     参  选  人：</w:t>
      </w:r>
      <w:r>
        <w:rPr>
          <w:rFonts w:hint="eastAsia" w:hAnsi="宋体"/>
          <w:color w:val="00B050"/>
          <w:kern w:val="2"/>
          <w:sz w:val="28"/>
          <w:szCs w:val="28"/>
        </w:rPr>
        <w:t>（单位名称）</w:t>
      </w:r>
    </w:p>
    <w:p w14:paraId="0B81DA5F">
      <w:pPr>
        <w:pStyle w:val="54"/>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14:paraId="6FEF8413">
      <w:pPr>
        <w:pStyle w:val="54"/>
        <w:jc w:val="center"/>
      </w:pPr>
    </w:p>
    <w:p w14:paraId="52AE298C">
      <w:pPr>
        <w:pStyle w:val="54"/>
        <w:jc w:val="center"/>
      </w:pPr>
    </w:p>
    <w:p w14:paraId="5201C830">
      <w:pPr>
        <w:pStyle w:val="54"/>
        <w:rPr>
          <w:sz w:val="32"/>
          <w:szCs w:val="32"/>
        </w:rPr>
      </w:pPr>
      <w:r>
        <w:rPr>
          <w:sz w:val="32"/>
          <w:szCs w:val="32"/>
        </w:rPr>
        <w:t>附件</w:t>
      </w:r>
      <w:r>
        <w:rPr>
          <w:rFonts w:hint="eastAsia"/>
          <w:sz w:val="32"/>
          <w:szCs w:val="32"/>
        </w:rPr>
        <w:t>3：</w:t>
      </w:r>
    </w:p>
    <w:p w14:paraId="69399DF9">
      <w:pPr>
        <w:pStyle w:val="54"/>
        <w:jc w:val="center"/>
      </w:pPr>
    </w:p>
    <w:p w14:paraId="3F056587">
      <w:pPr>
        <w:spacing w:line="500" w:lineRule="exact"/>
        <w:jc w:val="center"/>
        <w:rPr>
          <w:b/>
          <w:bCs/>
          <w:sz w:val="36"/>
          <w:szCs w:val="36"/>
          <w:lang w:eastAsia="zh-CN"/>
        </w:rPr>
      </w:pPr>
      <w:r>
        <w:rPr>
          <w:rFonts w:hint="eastAsia"/>
          <w:b/>
          <w:bCs/>
          <w:sz w:val="36"/>
          <w:szCs w:val="36"/>
          <w:lang w:eastAsia="zh-CN"/>
        </w:rPr>
        <w:t>法定代表人授权书</w:t>
      </w:r>
    </w:p>
    <w:p w14:paraId="509356D8">
      <w:pPr>
        <w:spacing w:line="500" w:lineRule="exact"/>
        <w:ind w:firstLine="480" w:firstLineChars="200"/>
        <w:rPr>
          <w:sz w:val="24"/>
          <w:lang w:eastAsia="zh-CN"/>
        </w:rPr>
      </w:pPr>
      <w:r>
        <w:rPr>
          <w:rFonts w:hint="eastAsia"/>
          <w:sz w:val="24"/>
          <w:lang w:eastAsia="zh-CN"/>
        </w:rPr>
        <w:t>本授权书声明：注册于</w:t>
      </w:r>
      <w:r>
        <w:rPr>
          <w:rFonts w:hint="eastAsia" w:cs="Times New Roman"/>
          <w:color w:val="00B050"/>
          <w:sz w:val="28"/>
          <w:szCs w:val="28"/>
          <w:u w:val="single"/>
          <w:lang w:eastAsia="zh-CN"/>
        </w:rPr>
        <w:t>注册地址</w:t>
      </w:r>
      <w:r>
        <w:rPr>
          <w:rFonts w:hint="eastAsia"/>
          <w:sz w:val="24"/>
          <w:lang w:eastAsia="zh-CN"/>
        </w:rPr>
        <w:t>的</w:t>
      </w:r>
      <w:r>
        <w:rPr>
          <w:rFonts w:hint="eastAsia" w:cs="Times New Roman"/>
          <w:color w:val="00B050"/>
          <w:sz w:val="28"/>
          <w:szCs w:val="28"/>
          <w:u w:val="single"/>
          <w:lang w:eastAsia="zh-CN"/>
        </w:rPr>
        <w:t>公司名称</w:t>
      </w:r>
      <w:r>
        <w:rPr>
          <w:rFonts w:hint="eastAsia"/>
          <w:sz w:val="24"/>
          <w:lang w:eastAsia="zh-CN"/>
        </w:rPr>
        <w:t>的在下方签字（或签章）的</w:t>
      </w:r>
      <w:r>
        <w:rPr>
          <w:rFonts w:hint="eastAsia" w:cs="Times New Roman"/>
          <w:color w:val="00B050"/>
          <w:sz w:val="28"/>
          <w:szCs w:val="28"/>
          <w:u w:val="single"/>
          <w:lang w:eastAsia="zh-CN"/>
        </w:rPr>
        <w:t>法人代表姓名</w:t>
      </w:r>
      <w:r>
        <w:rPr>
          <w:rFonts w:hint="eastAsia"/>
          <w:sz w:val="24"/>
          <w:lang w:eastAsia="zh-CN"/>
        </w:rPr>
        <w:t>代表本公司授权</w:t>
      </w:r>
      <w:r>
        <w:rPr>
          <w:rFonts w:hint="eastAsia" w:cs="Times New Roman"/>
          <w:color w:val="00B050"/>
          <w:sz w:val="28"/>
          <w:szCs w:val="28"/>
          <w:u w:val="single"/>
          <w:lang w:eastAsia="zh-CN"/>
        </w:rPr>
        <w:t>被授权代表人姓名、职务</w:t>
      </w:r>
      <w:r>
        <w:rPr>
          <w:rFonts w:hint="eastAsia"/>
          <w:sz w:val="24"/>
          <w:lang w:eastAsia="zh-CN"/>
        </w:rPr>
        <w:t>为本公司的合法代理人，就福建福海创石油化工有限公司</w:t>
      </w:r>
      <w:r>
        <w:rPr>
          <w:rFonts w:hint="eastAsia"/>
          <w:sz w:val="24"/>
          <w:u w:val="single"/>
          <w:lang w:eastAsia="zh-CN"/>
        </w:rPr>
        <w:t>2026年度火</w:t>
      </w:r>
      <w:r>
        <w:rPr>
          <w:rFonts w:hint="eastAsia"/>
          <w:b/>
          <w:sz w:val="24"/>
          <w:u w:val="single"/>
          <w:lang w:eastAsia="zh-CN"/>
        </w:rPr>
        <w:t>灾高危单位消防安全评估</w:t>
      </w:r>
      <w:r>
        <w:rPr>
          <w:rFonts w:hint="eastAsia"/>
          <w:sz w:val="24"/>
          <w:lang w:eastAsia="zh-CN"/>
        </w:rPr>
        <w:t>服务公开自主询比，以本公司名义参与报价、合同执行并处理与之有关的其他事务，相关责任及后果由本公司承担。</w:t>
      </w:r>
    </w:p>
    <w:p w14:paraId="05A87EE6">
      <w:pPr>
        <w:spacing w:line="500" w:lineRule="exact"/>
        <w:ind w:firstLine="480" w:firstLineChars="200"/>
        <w:rPr>
          <w:sz w:val="24"/>
          <w:lang w:eastAsia="zh-CN"/>
        </w:rPr>
      </w:pPr>
      <w:r>
        <w:rPr>
          <w:rFonts w:hint="eastAsia"/>
          <w:sz w:val="24"/>
          <w:lang w:eastAsia="zh-CN"/>
        </w:rPr>
        <w:t>本授权书于</w:t>
      </w:r>
      <w:r>
        <w:rPr>
          <w:rFonts w:hint="eastAsia" w:cs="Times New Roman"/>
          <w:color w:val="00B050"/>
          <w:sz w:val="28"/>
          <w:szCs w:val="28"/>
          <w:u w:val="single"/>
          <w:lang w:eastAsia="zh-CN"/>
        </w:rPr>
        <w:t>20</w:t>
      </w:r>
      <w:r>
        <w:rPr>
          <w:rFonts w:cs="Times New Roman"/>
          <w:color w:val="00B050"/>
          <w:sz w:val="28"/>
          <w:szCs w:val="28"/>
          <w:u w:val="single"/>
          <w:lang w:eastAsia="zh-CN"/>
        </w:rPr>
        <w:t>2</w:t>
      </w:r>
      <w:r>
        <w:rPr>
          <w:rFonts w:hint="eastAsia" w:cs="Times New Roman"/>
          <w:color w:val="00B050"/>
          <w:sz w:val="28"/>
          <w:szCs w:val="28"/>
          <w:u w:val="single"/>
          <w:lang w:eastAsia="zh-CN"/>
        </w:rPr>
        <w:t>6年  月   日</w:t>
      </w:r>
      <w:r>
        <w:rPr>
          <w:rFonts w:hint="eastAsia"/>
          <w:sz w:val="24"/>
          <w:lang w:eastAsia="zh-CN"/>
        </w:rPr>
        <w:t>生效，本授权书有效期至此次报价，以及合同履行完毕时止。</w:t>
      </w:r>
    </w:p>
    <w:p w14:paraId="1DA9337B">
      <w:pPr>
        <w:spacing w:line="360" w:lineRule="auto"/>
        <w:ind w:firstLine="480" w:firstLineChars="200"/>
        <w:rPr>
          <w:sz w:val="24"/>
          <w:szCs w:val="24"/>
          <w:lang w:eastAsia="zh-CN"/>
        </w:rPr>
      </w:pPr>
      <w:r>
        <w:rPr>
          <w:rFonts w:hint="eastAsia"/>
          <w:sz w:val="24"/>
          <w:szCs w:val="24"/>
          <w:lang w:eastAsia="zh-CN"/>
        </w:rPr>
        <w:t>代理人无转委托权，特此委托。</w:t>
      </w:r>
    </w:p>
    <w:p w14:paraId="26F81BBF">
      <w:pPr>
        <w:spacing w:line="360" w:lineRule="auto"/>
        <w:ind w:firstLine="480" w:firstLineChars="200"/>
        <w:rPr>
          <w:color w:val="000000"/>
          <w:sz w:val="24"/>
          <w:szCs w:val="24"/>
          <w:lang w:eastAsia="zh-CN"/>
        </w:rPr>
      </w:pPr>
      <w:r>
        <w:rPr>
          <w:rFonts w:hint="eastAsia"/>
          <w:color w:val="000000"/>
          <w:sz w:val="24"/>
          <w:szCs w:val="24"/>
          <w:lang w:eastAsia="zh-CN"/>
        </w:rPr>
        <w:t>附：法定代表人身份证明</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1B98D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tcPr>
          <w:p w14:paraId="085101D2">
            <w:pPr>
              <w:spacing w:line="360" w:lineRule="auto"/>
              <w:jc w:val="both"/>
              <w:rPr>
                <w:color w:val="000000"/>
                <w:szCs w:val="21"/>
                <w:lang w:eastAsia="zh-CN"/>
              </w:rPr>
            </w:pPr>
          </w:p>
          <w:p w14:paraId="53DFDEDB">
            <w:pPr>
              <w:spacing w:line="360" w:lineRule="auto"/>
              <w:jc w:val="center"/>
              <w:rPr>
                <w:color w:val="000000"/>
                <w:szCs w:val="21"/>
              </w:rPr>
            </w:pPr>
            <w:r>
              <w:rPr>
                <w:rFonts w:hint="eastAsia"/>
                <w:color w:val="000000"/>
                <w:szCs w:val="21"/>
              </w:rPr>
              <w:t>（正面）</w:t>
            </w:r>
          </w:p>
          <w:p w14:paraId="362BAB78">
            <w:pPr>
              <w:spacing w:line="360" w:lineRule="auto"/>
              <w:jc w:val="both"/>
              <w:rPr>
                <w:color w:val="000000"/>
                <w:szCs w:val="21"/>
                <w:lang w:eastAsia="zh-CN"/>
              </w:rPr>
            </w:pPr>
          </w:p>
        </w:tc>
        <w:tc>
          <w:tcPr>
            <w:tcW w:w="4643" w:type="dxa"/>
          </w:tcPr>
          <w:p w14:paraId="04849F4A">
            <w:pPr>
              <w:spacing w:line="360" w:lineRule="auto"/>
              <w:jc w:val="both"/>
              <w:rPr>
                <w:color w:val="000000"/>
                <w:szCs w:val="21"/>
                <w:lang w:eastAsia="zh-CN"/>
              </w:rPr>
            </w:pPr>
          </w:p>
          <w:p w14:paraId="7899F75E">
            <w:pPr>
              <w:spacing w:line="360" w:lineRule="auto"/>
              <w:jc w:val="center"/>
              <w:rPr>
                <w:color w:val="000000"/>
                <w:szCs w:val="21"/>
              </w:rPr>
            </w:pPr>
            <w:r>
              <w:rPr>
                <w:rFonts w:hint="eastAsia"/>
                <w:color w:val="000000"/>
                <w:szCs w:val="21"/>
              </w:rPr>
              <w:t>（反面）</w:t>
            </w:r>
          </w:p>
        </w:tc>
      </w:tr>
    </w:tbl>
    <w:p w14:paraId="15635606">
      <w:pPr>
        <w:spacing w:line="276" w:lineRule="auto"/>
        <w:ind w:firstLine="420" w:firstLineChars="200"/>
        <w:rPr>
          <w:color w:val="000000"/>
          <w:sz w:val="21"/>
          <w:szCs w:val="21"/>
        </w:rPr>
      </w:pPr>
    </w:p>
    <w:p w14:paraId="5BA3B97E">
      <w:pPr>
        <w:spacing w:line="360" w:lineRule="auto"/>
        <w:ind w:firstLine="480" w:firstLineChars="200"/>
        <w:rPr>
          <w:color w:val="000000"/>
          <w:sz w:val="24"/>
          <w:szCs w:val="24"/>
          <w:lang w:eastAsia="zh-CN"/>
        </w:rPr>
      </w:pPr>
      <w:r>
        <w:rPr>
          <w:rFonts w:hint="eastAsia"/>
          <w:color w:val="000000"/>
          <w:sz w:val="24"/>
          <w:szCs w:val="24"/>
          <w:lang w:eastAsia="zh-CN"/>
        </w:rPr>
        <w:t>代  理  人：</w:t>
      </w:r>
      <w:r>
        <w:rPr>
          <w:color w:val="000000"/>
          <w:sz w:val="24"/>
          <w:szCs w:val="24"/>
          <w:u w:val="single"/>
          <w:lang w:eastAsia="zh-CN"/>
        </w:rPr>
        <w:t xml:space="preserve">  </w:t>
      </w:r>
      <w:r>
        <w:rPr>
          <w:rFonts w:hint="eastAsia"/>
          <w:color w:val="000000"/>
          <w:sz w:val="24"/>
          <w:szCs w:val="24"/>
          <w:u w:val="single"/>
          <w:lang w:eastAsia="zh-CN"/>
        </w:rPr>
        <w:t xml:space="preserve">            </w:t>
      </w:r>
      <w:r>
        <w:rPr>
          <w:rFonts w:hint="eastAsia"/>
          <w:color w:val="FF0000"/>
          <w:sz w:val="24"/>
          <w:szCs w:val="24"/>
          <w:u w:val="single"/>
          <w:lang w:eastAsia="zh-CN"/>
        </w:rPr>
        <w:t>（签字）</w:t>
      </w:r>
      <w:r>
        <w:rPr>
          <w:rFonts w:hint="eastAsia"/>
          <w:color w:val="000000"/>
          <w:sz w:val="24"/>
          <w:szCs w:val="24"/>
          <w:lang w:eastAsia="zh-CN"/>
        </w:rPr>
        <w:t>性别：</w:t>
      </w:r>
      <w:r>
        <w:rPr>
          <w:color w:val="000000"/>
          <w:sz w:val="24"/>
          <w:szCs w:val="24"/>
          <w:u w:val="single"/>
          <w:lang w:eastAsia="zh-CN"/>
        </w:rPr>
        <w:t xml:space="preserve">      </w:t>
      </w:r>
      <w:r>
        <w:rPr>
          <w:rFonts w:hint="eastAsia"/>
          <w:color w:val="000000"/>
          <w:sz w:val="24"/>
          <w:szCs w:val="24"/>
          <w:lang w:eastAsia="zh-CN"/>
        </w:rPr>
        <w:t>年龄：</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14:paraId="3764B397">
      <w:pPr>
        <w:spacing w:line="360" w:lineRule="auto"/>
        <w:ind w:firstLine="480" w:firstLineChars="200"/>
        <w:rPr>
          <w:color w:val="000000"/>
          <w:sz w:val="24"/>
          <w:szCs w:val="24"/>
          <w:lang w:eastAsia="zh-CN"/>
        </w:rPr>
      </w:pPr>
      <w:r>
        <w:rPr>
          <w:rFonts w:hint="eastAsia"/>
          <w:color w:val="000000"/>
          <w:sz w:val="24"/>
          <w:szCs w:val="24"/>
          <w:lang w:eastAsia="zh-CN"/>
        </w:rPr>
        <w:t>身份证号码：</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color w:val="000000"/>
          <w:sz w:val="24"/>
          <w:szCs w:val="24"/>
          <w:lang w:eastAsia="zh-CN"/>
        </w:rPr>
        <w:t xml:space="preserve"> </w:t>
      </w:r>
      <w:r>
        <w:rPr>
          <w:rFonts w:hint="eastAsia"/>
          <w:color w:val="000000"/>
          <w:sz w:val="24"/>
          <w:szCs w:val="24"/>
          <w:lang w:eastAsia="zh-CN"/>
        </w:rPr>
        <w:t>职务：</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14:paraId="0AFA8662">
      <w:pPr>
        <w:spacing w:line="360" w:lineRule="auto"/>
        <w:ind w:firstLine="480" w:firstLineChars="200"/>
        <w:rPr>
          <w:color w:val="000000"/>
          <w:sz w:val="24"/>
          <w:szCs w:val="24"/>
          <w:lang w:eastAsia="zh-CN"/>
        </w:rPr>
      </w:pPr>
      <w:r>
        <w:rPr>
          <w:rFonts w:hint="eastAsia"/>
          <w:color w:val="000000"/>
          <w:sz w:val="24"/>
          <w:szCs w:val="24"/>
          <w:lang w:eastAsia="zh-CN"/>
        </w:rPr>
        <w:t>委托期限：</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日至</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w:t>
      </w:r>
    </w:p>
    <w:p w14:paraId="7C231339">
      <w:pPr>
        <w:spacing w:line="360" w:lineRule="auto"/>
        <w:ind w:firstLine="480" w:firstLineChars="200"/>
        <w:rPr>
          <w:color w:val="000000"/>
          <w:sz w:val="24"/>
          <w:szCs w:val="24"/>
          <w:lang w:eastAsia="zh-CN"/>
        </w:rPr>
      </w:pPr>
      <w:r>
        <w:rPr>
          <w:rFonts w:hint="eastAsia"/>
          <w:color w:val="000000"/>
          <w:sz w:val="24"/>
          <w:szCs w:val="24"/>
          <w:lang w:eastAsia="zh-CN"/>
        </w:rPr>
        <w:t>代理人电话：</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u w:val="single"/>
          <w:lang w:eastAsia="zh-CN"/>
        </w:rPr>
        <w:t xml:space="preserve"> </w:t>
      </w:r>
      <w:r>
        <w:rPr>
          <w:rFonts w:hint="eastAsia"/>
          <w:color w:val="000000"/>
          <w:sz w:val="24"/>
          <w:szCs w:val="24"/>
          <w:lang w:eastAsia="zh-CN"/>
        </w:rPr>
        <w:t xml:space="preserve">  邮箱：</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u w:val="single"/>
          <w:lang w:eastAsia="zh-CN"/>
        </w:rPr>
        <w:t xml:space="preserve">   </w:t>
      </w:r>
      <w:r>
        <w:rPr>
          <w:color w:val="000000"/>
          <w:sz w:val="24"/>
          <w:szCs w:val="24"/>
          <w:u w:val="single"/>
          <w:lang w:eastAsia="zh-CN"/>
        </w:rPr>
        <w:t xml:space="preserve">     </w:t>
      </w:r>
      <w:r>
        <w:rPr>
          <w:rFonts w:hint="eastAsia"/>
          <w:color w:val="000000"/>
          <w:sz w:val="24"/>
          <w:szCs w:val="24"/>
          <w:lang w:eastAsia="zh-CN"/>
        </w:rPr>
        <w:t>；</w:t>
      </w:r>
    </w:p>
    <w:p w14:paraId="4A7A26DE">
      <w:pPr>
        <w:spacing w:line="360" w:lineRule="auto"/>
        <w:ind w:firstLine="480" w:firstLineChars="200"/>
        <w:rPr>
          <w:color w:val="000000"/>
          <w:sz w:val="24"/>
          <w:szCs w:val="24"/>
          <w:lang w:eastAsia="zh-CN"/>
        </w:rPr>
      </w:pPr>
      <w:r>
        <w:rPr>
          <w:rFonts w:hint="eastAsia"/>
          <w:color w:val="000000"/>
          <w:sz w:val="24"/>
          <w:szCs w:val="24"/>
          <w:lang w:eastAsia="zh-CN"/>
        </w:rPr>
        <w:t>法定代表人：</w:t>
      </w:r>
      <w:r>
        <w:rPr>
          <w:color w:val="000000"/>
          <w:sz w:val="24"/>
          <w:szCs w:val="24"/>
          <w:u w:val="single"/>
          <w:lang w:eastAsia="zh-CN"/>
        </w:rPr>
        <w:t xml:space="preserve">                </w:t>
      </w:r>
      <w:r>
        <w:rPr>
          <w:rFonts w:hint="eastAsia"/>
          <w:color w:val="FF0000"/>
          <w:sz w:val="24"/>
          <w:szCs w:val="24"/>
          <w:u w:val="single"/>
          <w:lang w:eastAsia="zh-CN"/>
        </w:rPr>
        <w:t>签字）</w:t>
      </w:r>
      <w:r>
        <w:rPr>
          <w:color w:val="000000"/>
          <w:sz w:val="24"/>
          <w:szCs w:val="24"/>
          <w:u w:val="single"/>
          <w:lang w:eastAsia="zh-CN"/>
        </w:rPr>
        <w:t xml:space="preserve">  </w:t>
      </w:r>
    </w:p>
    <w:p w14:paraId="52E856BC">
      <w:pPr>
        <w:spacing w:line="360" w:lineRule="auto"/>
        <w:ind w:firstLine="480" w:firstLineChars="200"/>
        <w:rPr>
          <w:color w:val="000000"/>
          <w:sz w:val="24"/>
          <w:szCs w:val="24"/>
          <w:lang w:eastAsia="zh-CN"/>
        </w:rPr>
      </w:pPr>
    </w:p>
    <w:p w14:paraId="5631F77B">
      <w:pPr>
        <w:spacing w:line="360" w:lineRule="auto"/>
        <w:ind w:firstLine="480" w:firstLineChars="200"/>
        <w:rPr>
          <w:color w:val="000000"/>
          <w:sz w:val="24"/>
          <w:szCs w:val="24"/>
          <w:lang w:eastAsia="zh-CN"/>
        </w:rPr>
      </w:pPr>
      <w:r>
        <w:rPr>
          <w:rFonts w:hint="eastAsia"/>
          <w:color w:val="000000"/>
          <w:sz w:val="24"/>
          <w:szCs w:val="24"/>
          <w:lang w:eastAsia="zh-CN"/>
        </w:rPr>
        <w:t>参</w:t>
      </w:r>
      <w:r>
        <w:rPr>
          <w:color w:val="000000"/>
          <w:sz w:val="24"/>
          <w:szCs w:val="24"/>
          <w:lang w:eastAsia="zh-CN"/>
        </w:rPr>
        <w:t xml:space="preserve">  </w:t>
      </w:r>
      <w:r>
        <w:rPr>
          <w:rFonts w:hint="eastAsia"/>
          <w:color w:val="000000"/>
          <w:sz w:val="24"/>
          <w:szCs w:val="24"/>
          <w:lang w:eastAsia="zh-CN"/>
        </w:rPr>
        <w:t>选</w:t>
      </w:r>
      <w:r>
        <w:rPr>
          <w:color w:val="000000"/>
          <w:sz w:val="24"/>
          <w:szCs w:val="24"/>
          <w:lang w:eastAsia="zh-CN"/>
        </w:rPr>
        <w:t xml:space="preserve">  </w:t>
      </w:r>
      <w:r>
        <w:rPr>
          <w:rFonts w:hint="eastAsia"/>
          <w:color w:val="000000"/>
          <w:sz w:val="24"/>
          <w:szCs w:val="24"/>
          <w:lang w:eastAsia="zh-CN"/>
        </w:rPr>
        <w:t>人：</w:t>
      </w:r>
      <w:r>
        <w:rPr>
          <w:color w:val="000000"/>
          <w:sz w:val="24"/>
          <w:szCs w:val="24"/>
          <w:u w:val="single"/>
          <w:lang w:eastAsia="zh-CN"/>
        </w:rPr>
        <w:t xml:space="preserve">                            </w:t>
      </w:r>
      <w:r>
        <w:rPr>
          <w:rFonts w:hint="eastAsia"/>
          <w:color w:val="000000"/>
          <w:sz w:val="24"/>
          <w:szCs w:val="24"/>
          <w:u w:val="single"/>
          <w:lang w:eastAsia="zh-CN"/>
        </w:rPr>
        <w:t>（盖单位章）</w:t>
      </w:r>
      <w:r>
        <w:rPr>
          <w:color w:val="000000"/>
          <w:sz w:val="24"/>
          <w:szCs w:val="24"/>
          <w:u w:val="single"/>
          <w:lang w:eastAsia="zh-CN"/>
        </w:rPr>
        <w:t xml:space="preserve">  </w:t>
      </w:r>
    </w:p>
    <w:p w14:paraId="1B40E673">
      <w:pPr>
        <w:spacing w:line="360" w:lineRule="auto"/>
        <w:ind w:firstLine="480" w:firstLineChars="200"/>
        <w:rPr>
          <w:color w:val="000000"/>
          <w:sz w:val="24"/>
          <w:szCs w:val="24"/>
          <w:lang w:eastAsia="zh-CN"/>
        </w:rPr>
      </w:pPr>
      <w:r>
        <w:rPr>
          <w:color w:val="000000"/>
          <w:sz w:val="24"/>
          <w:szCs w:val="24"/>
          <w:lang w:eastAsia="zh-CN"/>
        </w:rPr>
        <w:t xml:space="preserve">                               </w:t>
      </w:r>
      <w:r>
        <w:rPr>
          <w:color w:val="000000"/>
          <w:sz w:val="24"/>
          <w:szCs w:val="24"/>
          <w:u w:val="single"/>
          <w:lang w:eastAsia="zh-CN"/>
        </w:rPr>
        <w:t xml:space="preserve">    </w:t>
      </w:r>
      <w:r>
        <w:rPr>
          <w:rFonts w:hint="eastAsia"/>
          <w:color w:val="000000"/>
          <w:sz w:val="24"/>
          <w:szCs w:val="24"/>
          <w:lang w:eastAsia="zh-CN"/>
        </w:rPr>
        <w:t>年</w:t>
      </w:r>
      <w:r>
        <w:rPr>
          <w:color w:val="000000"/>
          <w:sz w:val="24"/>
          <w:szCs w:val="24"/>
          <w:u w:val="single"/>
          <w:lang w:eastAsia="zh-CN"/>
        </w:rPr>
        <w:t xml:space="preserve">    </w:t>
      </w:r>
      <w:r>
        <w:rPr>
          <w:rFonts w:hint="eastAsia"/>
          <w:color w:val="000000"/>
          <w:sz w:val="24"/>
          <w:szCs w:val="24"/>
          <w:lang w:eastAsia="zh-CN"/>
        </w:rPr>
        <w:t>月</w:t>
      </w:r>
      <w:r>
        <w:rPr>
          <w:color w:val="000000"/>
          <w:sz w:val="24"/>
          <w:szCs w:val="24"/>
          <w:u w:val="single"/>
          <w:lang w:eastAsia="zh-CN"/>
        </w:rPr>
        <w:t xml:space="preserve">    </w:t>
      </w:r>
      <w:r>
        <w:rPr>
          <w:rFonts w:hint="eastAsia"/>
          <w:color w:val="000000"/>
          <w:sz w:val="24"/>
          <w:szCs w:val="24"/>
          <w:lang w:eastAsia="zh-CN"/>
        </w:rPr>
        <w:t>日</w:t>
      </w:r>
    </w:p>
    <w:p w14:paraId="2D1F67BB">
      <w:pPr>
        <w:spacing w:line="360" w:lineRule="auto"/>
        <w:ind w:firstLine="480" w:firstLineChars="200"/>
        <w:rPr>
          <w:color w:val="000000"/>
          <w:sz w:val="24"/>
          <w:szCs w:val="24"/>
          <w:lang w:eastAsia="zh-CN"/>
        </w:rPr>
      </w:pPr>
      <w:r>
        <w:rPr>
          <w:rFonts w:hint="eastAsia"/>
          <w:color w:val="000000"/>
          <w:sz w:val="24"/>
          <w:szCs w:val="24"/>
          <w:lang w:eastAsia="zh-CN"/>
        </w:rPr>
        <w:t>附：代理人身份证明</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9CDA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3" w:type="dxa"/>
          </w:tcPr>
          <w:p w14:paraId="6D38FE0A">
            <w:pPr>
              <w:spacing w:line="360" w:lineRule="auto"/>
              <w:jc w:val="both"/>
              <w:rPr>
                <w:color w:val="000000"/>
                <w:szCs w:val="21"/>
                <w:lang w:eastAsia="zh-CN"/>
              </w:rPr>
            </w:pPr>
          </w:p>
          <w:p w14:paraId="0E09842F">
            <w:pPr>
              <w:spacing w:line="360" w:lineRule="auto"/>
              <w:jc w:val="center"/>
              <w:rPr>
                <w:color w:val="000000"/>
                <w:szCs w:val="21"/>
              </w:rPr>
            </w:pPr>
            <w:r>
              <w:rPr>
                <w:rFonts w:hint="eastAsia"/>
                <w:color w:val="000000"/>
                <w:szCs w:val="21"/>
              </w:rPr>
              <w:t>（正面）</w:t>
            </w:r>
          </w:p>
          <w:p w14:paraId="243D8BD4">
            <w:pPr>
              <w:spacing w:line="360" w:lineRule="auto"/>
              <w:jc w:val="both"/>
              <w:rPr>
                <w:color w:val="000000"/>
                <w:szCs w:val="21"/>
                <w:lang w:eastAsia="zh-CN"/>
              </w:rPr>
            </w:pPr>
          </w:p>
        </w:tc>
        <w:tc>
          <w:tcPr>
            <w:tcW w:w="4643" w:type="dxa"/>
          </w:tcPr>
          <w:p w14:paraId="63984209">
            <w:pPr>
              <w:spacing w:line="360" w:lineRule="auto"/>
              <w:jc w:val="both"/>
              <w:rPr>
                <w:color w:val="000000"/>
                <w:szCs w:val="21"/>
                <w:lang w:eastAsia="zh-CN"/>
              </w:rPr>
            </w:pPr>
          </w:p>
          <w:p w14:paraId="1B96016E">
            <w:pPr>
              <w:spacing w:line="360" w:lineRule="auto"/>
              <w:jc w:val="center"/>
              <w:rPr>
                <w:color w:val="000000"/>
                <w:szCs w:val="21"/>
              </w:rPr>
            </w:pPr>
            <w:r>
              <w:rPr>
                <w:rFonts w:hint="eastAsia"/>
                <w:color w:val="000000"/>
                <w:szCs w:val="21"/>
              </w:rPr>
              <w:t>（反面）</w:t>
            </w:r>
          </w:p>
        </w:tc>
      </w:tr>
    </w:tbl>
    <w:p w14:paraId="7F072966">
      <w:pPr>
        <w:pStyle w:val="54"/>
        <w:rPr>
          <w:color w:val="0000FF"/>
          <w:kern w:val="2"/>
        </w:rPr>
      </w:pPr>
    </w:p>
    <w:p w14:paraId="43096D23">
      <w:pPr>
        <w:pStyle w:val="54"/>
        <w:jc w:val="center"/>
        <w:rPr>
          <w:color w:val="4E6127"/>
        </w:rPr>
      </w:pPr>
      <w:r>
        <w:rPr>
          <w:rFonts w:hint="eastAsia"/>
          <w:sz w:val="24"/>
          <w:szCs w:val="24"/>
        </w:rPr>
        <w:t xml:space="preserve">               单位名称：</w:t>
      </w:r>
      <w:r>
        <w:rPr>
          <w:rFonts w:hint="eastAsia" w:hAnsi="宋体"/>
          <w:color w:val="00B050"/>
          <w:kern w:val="2"/>
          <w:sz w:val="28"/>
          <w:szCs w:val="28"/>
        </w:rPr>
        <w:t>（公章）</w:t>
      </w:r>
    </w:p>
    <w:p w14:paraId="73EA96D5">
      <w:pPr>
        <w:spacing w:line="500" w:lineRule="exact"/>
        <w:jc w:val="both"/>
        <w:rPr>
          <w:sz w:val="32"/>
          <w:szCs w:val="32"/>
          <w:lang w:eastAsia="zh-CN"/>
        </w:rPr>
      </w:pPr>
      <w:r>
        <w:rPr>
          <w:rFonts w:hint="eastAsia"/>
          <w:sz w:val="32"/>
          <w:szCs w:val="32"/>
          <w:lang w:eastAsia="zh-CN"/>
        </w:rPr>
        <w:t>附件4、</w:t>
      </w:r>
    </w:p>
    <w:p w14:paraId="736D89B9">
      <w:pPr>
        <w:pStyle w:val="54"/>
        <w:rPr>
          <w:sz w:val="32"/>
          <w:szCs w:val="32"/>
        </w:rPr>
      </w:pPr>
    </w:p>
    <w:p w14:paraId="25BADD00">
      <w:pPr>
        <w:pStyle w:val="54"/>
      </w:pPr>
    </w:p>
    <w:p w14:paraId="6822AE7A">
      <w:pPr>
        <w:pStyle w:val="72"/>
        <w:spacing w:beforeLines="0" w:afterLines="0" w:line="240" w:lineRule="auto"/>
        <w:ind w:firstLine="0" w:firstLineChars="0"/>
        <w:jc w:val="center"/>
        <w:rPr>
          <w:rFonts w:ascii="Times New Roman" w:hAnsi="Times New Roman" w:cs="Times New Roman"/>
          <w:b/>
          <w:sz w:val="36"/>
          <w:szCs w:val="36"/>
          <w:lang w:eastAsia="zh-CN"/>
        </w:rPr>
      </w:pPr>
      <w:r>
        <w:rPr>
          <w:rFonts w:hint="eastAsia" w:ascii="Times New Roman" w:hAnsi="Times New Roman" w:cs="Times New Roman"/>
          <w:b/>
          <w:sz w:val="36"/>
          <w:szCs w:val="36"/>
          <w:lang w:eastAsia="zh-CN"/>
        </w:rPr>
        <w:t>承诺函</w:t>
      </w:r>
    </w:p>
    <w:p w14:paraId="4D9652B3">
      <w:pPr>
        <w:spacing w:line="500" w:lineRule="exact"/>
        <w:rPr>
          <w:sz w:val="24"/>
          <w:lang w:eastAsia="zh-CN"/>
        </w:rPr>
      </w:pPr>
      <w:r>
        <w:rPr>
          <w:rFonts w:hint="eastAsia"/>
          <w:sz w:val="24"/>
          <w:lang w:eastAsia="zh-CN"/>
        </w:rPr>
        <w:t>致：福建福海创石油化工有限公司</w:t>
      </w:r>
    </w:p>
    <w:p w14:paraId="41D76BBD">
      <w:pPr>
        <w:spacing w:line="500" w:lineRule="exact"/>
        <w:ind w:firstLine="480" w:firstLineChars="200"/>
        <w:rPr>
          <w:sz w:val="24"/>
          <w:lang w:eastAsia="zh-CN"/>
        </w:rPr>
      </w:pPr>
      <w:r>
        <w:rPr>
          <w:rFonts w:hint="eastAsia"/>
          <w:sz w:val="24"/>
          <w:lang w:eastAsia="zh-CN"/>
        </w:rPr>
        <w:t>我公司对</w:t>
      </w:r>
      <w:r>
        <w:rPr>
          <w:rFonts w:hint="eastAsia"/>
          <w:b/>
          <w:sz w:val="24"/>
          <w:u w:val="single"/>
          <w:lang w:eastAsia="zh-CN"/>
        </w:rPr>
        <w:t>2026年度火灾高危单位消防安全评估</w:t>
      </w:r>
      <w:r>
        <w:rPr>
          <w:rFonts w:hint="eastAsia"/>
          <w:sz w:val="24"/>
          <w:lang w:eastAsia="zh-CN"/>
        </w:rPr>
        <w:t>服务招标文件中有关要求完全响应，完全满足供应商合格条件。如我公司能在本次中选，我公司郑重承诺如下：</w:t>
      </w:r>
    </w:p>
    <w:p w14:paraId="6A29E32C">
      <w:pPr>
        <w:spacing w:line="500" w:lineRule="exact"/>
        <w:ind w:firstLine="480" w:firstLineChars="200"/>
        <w:rPr>
          <w:sz w:val="24"/>
          <w:lang w:eastAsia="zh-CN"/>
        </w:rPr>
      </w:pPr>
      <w:r>
        <w:rPr>
          <w:rFonts w:hint="eastAsia"/>
          <w:sz w:val="24"/>
          <w:lang w:eastAsia="zh-CN"/>
        </w:rPr>
        <w:t>1、我公司将按照用户需求至上原则，保证提供优质的服务。</w:t>
      </w:r>
    </w:p>
    <w:p w14:paraId="2E3D703C">
      <w:pPr>
        <w:spacing w:line="500" w:lineRule="exact"/>
        <w:ind w:firstLine="480" w:firstLineChars="200"/>
        <w:rPr>
          <w:sz w:val="24"/>
          <w:lang w:eastAsia="zh-CN"/>
        </w:rPr>
      </w:pPr>
      <w:r>
        <w:rPr>
          <w:rFonts w:hint="eastAsia"/>
          <w:sz w:val="24"/>
          <w:lang w:eastAsia="zh-CN"/>
        </w:rPr>
        <w:t>2、我公司将严格按照询比文件、参选文件及合同的要求履行自身义务。</w:t>
      </w:r>
    </w:p>
    <w:p w14:paraId="42F59318">
      <w:pPr>
        <w:pStyle w:val="54"/>
        <w:ind w:firstLine="601" w:firstLineChars="188"/>
        <w:rPr>
          <w:rFonts w:ascii="Times New Roman" w:hAnsi="Times New Roman" w:eastAsia="仿宋_GB2312"/>
          <w:kern w:val="2"/>
          <w:sz w:val="32"/>
          <w:szCs w:val="32"/>
        </w:rPr>
      </w:pPr>
    </w:p>
    <w:p w14:paraId="73DE5622">
      <w:pPr>
        <w:snapToGrid w:val="0"/>
        <w:spacing w:line="360" w:lineRule="auto"/>
        <w:rPr>
          <w:sz w:val="24"/>
          <w:szCs w:val="24"/>
          <w:lang w:eastAsia="zh-CN"/>
        </w:rPr>
      </w:pPr>
      <w:r>
        <w:rPr>
          <w:sz w:val="24"/>
          <w:szCs w:val="24"/>
          <w:lang w:eastAsia="zh-CN"/>
        </w:rPr>
        <w:t xml:space="preserve">               </w:t>
      </w:r>
    </w:p>
    <w:p w14:paraId="14C0C522">
      <w:pPr>
        <w:rPr>
          <w:color w:val="000000"/>
          <w:sz w:val="24"/>
          <w:szCs w:val="24"/>
          <w:lang w:eastAsia="zh-CN"/>
        </w:rPr>
      </w:pPr>
    </w:p>
    <w:p w14:paraId="09209F17">
      <w:pPr>
        <w:pStyle w:val="54"/>
        <w:jc w:val="center"/>
        <w:rPr>
          <w:rFonts w:hAnsi="宋体"/>
          <w:color w:val="00B050"/>
          <w:kern w:val="2"/>
          <w:sz w:val="28"/>
          <w:szCs w:val="28"/>
        </w:rPr>
      </w:pPr>
      <w:r>
        <w:rPr>
          <w:rFonts w:hint="eastAsia"/>
          <w:sz w:val="24"/>
          <w:szCs w:val="24"/>
        </w:rPr>
        <w:t xml:space="preserve">  单位名称：</w:t>
      </w:r>
      <w:r>
        <w:rPr>
          <w:rFonts w:hint="eastAsia" w:hAnsi="宋体"/>
          <w:color w:val="00B050"/>
          <w:kern w:val="2"/>
          <w:sz w:val="28"/>
          <w:szCs w:val="28"/>
        </w:rPr>
        <w:t>（公章）</w:t>
      </w:r>
    </w:p>
    <w:p w14:paraId="483A91B4">
      <w:pPr>
        <w:pStyle w:val="54"/>
        <w:jc w:val="left"/>
        <w:rPr>
          <w:rFonts w:hAnsi="宋体"/>
          <w:color w:val="00B050"/>
          <w:kern w:val="2"/>
          <w:sz w:val="28"/>
          <w:szCs w:val="28"/>
        </w:rPr>
      </w:pPr>
    </w:p>
    <w:p w14:paraId="0F29B6FE">
      <w:pPr>
        <w:pStyle w:val="54"/>
        <w:jc w:val="left"/>
        <w:rPr>
          <w:rFonts w:hAnsi="宋体"/>
          <w:kern w:val="2"/>
          <w:sz w:val="28"/>
          <w:szCs w:val="28"/>
        </w:rPr>
      </w:pPr>
    </w:p>
    <w:p w14:paraId="2389B315">
      <w:pPr>
        <w:pStyle w:val="54"/>
        <w:jc w:val="left"/>
        <w:rPr>
          <w:rFonts w:hAnsi="宋体"/>
          <w:kern w:val="2"/>
          <w:sz w:val="28"/>
          <w:szCs w:val="28"/>
        </w:rPr>
      </w:pPr>
    </w:p>
    <w:p w14:paraId="5F69CA28">
      <w:pPr>
        <w:pStyle w:val="54"/>
        <w:jc w:val="left"/>
        <w:rPr>
          <w:rFonts w:hAnsi="宋体"/>
          <w:kern w:val="2"/>
          <w:sz w:val="28"/>
          <w:szCs w:val="28"/>
        </w:rPr>
      </w:pPr>
    </w:p>
    <w:p w14:paraId="7A9E2846">
      <w:pPr>
        <w:pStyle w:val="54"/>
        <w:jc w:val="left"/>
        <w:rPr>
          <w:rFonts w:hAnsi="宋体"/>
          <w:kern w:val="2"/>
          <w:sz w:val="28"/>
          <w:szCs w:val="28"/>
        </w:rPr>
      </w:pPr>
    </w:p>
    <w:p w14:paraId="6DC55368">
      <w:pPr>
        <w:pStyle w:val="54"/>
        <w:jc w:val="left"/>
        <w:rPr>
          <w:rFonts w:hAnsi="宋体"/>
          <w:kern w:val="2"/>
          <w:sz w:val="28"/>
          <w:szCs w:val="28"/>
        </w:rPr>
      </w:pPr>
    </w:p>
    <w:p w14:paraId="16AB179F">
      <w:pPr>
        <w:pStyle w:val="54"/>
        <w:jc w:val="left"/>
        <w:rPr>
          <w:rFonts w:hAnsi="宋体"/>
          <w:kern w:val="2"/>
          <w:sz w:val="28"/>
          <w:szCs w:val="28"/>
        </w:rPr>
      </w:pPr>
    </w:p>
    <w:p w14:paraId="321F6790">
      <w:pPr>
        <w:pStyle w:val="54"/>
        <w:jc w:val="left"/>
        <w:rPr>
          <w:rFonts w:hAnsi="宋体"/>
          <w:kern w:val="2"/>
          <w:sz w:val="28"/>
          <w:szCs w:val="28"/>
        </w:rPr>
      </w:pPr>
    </w:p>
    <w:p w14:paraId="203839C0">
      <w:pPr>
        <w:pStyle w:val="54"/>
        <w:jc w:val="left"/>
        <w:rPr>
          <w:rFonts w:hAnsi="宋体"/>
          <w:kern w:val="2"/>
          <w:sz w:val="28"/>
          <w:szCs w:val="28"/>
        </w:rPr>
      </w:pPr>
    </w:p>
    <w:p w14:paraId="61510052">
      <w:pPr>
        <w:pStyle w:val="54"/>
        <w:jc w:val="left"/>
        <w:rPr>
          <w:rFonts w:hAnsi="宋体"/>
          <w:kern w:val="2"/>
          <w:sz w:val="28"/>
          <w:szCs w:val="28"/>
        </w:rPr>
      </w:pPr>
    </w:p>
    <w:p w14:paraId="252A6F37">
      <w:pPr>
        <w:pStyle w:val="54"/>
        <w:jc w:val="left"/>
        <w:rPr>
          <w:rFonts w:hAnsi="宋体"/>
          <w:kern w:val="2"/>
          <w:sz w:val="28"/>
          <w:szCs w:val="28"/>
        </w:rPr>
      </w:pPr>
    </w:p>
    <w:p w14:paraId="19F375FD">
      <w:pPr>
        <w:pStyle w:val="54"/>
        <w:jc w:val="left"/>
        <w:rPr>
          <w:rFonts w:hAnsi="宋体"/>
          <w:kern w:val="2"/>
          <w:sz w:val="28"/>
          <w:szCs w:val="28"/>
        </w:rPr>
      </w:pPr>
    </w:p>
    <w:p w14:paraId="0E5410EA">
      <w:pPr>
        <w:pStyle w:val="54"/>
        <w:jc w:val="left"/>
        <w:rPr>
          <w:rFonts w:hAnsi="宋体"/>
          <w:kern w:val="2"/>
          <w:sz w:val="28"/>
          <w:szCs w:val="28"/>
        </w:rPr>
      </w:pPr>
      <w:r>
        <w:rPr>
          <w:rFonts w:hAnsi="宋体"/>
          <w:kern w:val="2"/>
          <w:sz w:val="28"/>
          <w:szCs w:val="28"/>
        </w:rPr>
        <w:t>附件</w:t>
      </w:r>
      <w:r>
        <w:rPr>
          <w:rFonts w:hint="eastAsia" w:hAnsi="宋体"/>
          <w:kern w:val="2"/>
          <w:sz w:val="28"/>
          <w:szCs w:val="28"/>
        </w:rPr>
        <w:t>5：</w:t>
      </w:r>
    </w:p>
    <w:p w14:paraId="0428552C">
      <w:pPr>
        <w:pStyle w:val="54"/>
        <w:jc w:val="left"/>
        <w:rPr>
          <w:rFonts w:hAnsi="宋体"/>
          <w:kern w:val="2"/>
          <w:sz w:val="28"/>
          <w:szCs w:val="28"/>
        </w:rPr>
      </w:pPr>
    </w:p>
    <w:p w14:paraId="616FF47F">
      <w:pPr>
        <w:pStyle w:val="54"/>
        <w:jc w:val="left"/>
        <w:rPr>
          <w:rFonts w:ascii="Times New Roman" w:hAnsi="Times New Roman"/>
          <w:b/>
          <w:bCs/>
          <w:kern w:val="2"/>
          <w:sz w:val="28"/>
          <w:szCs w:val="28"/>
        </w:rPr>
      </w:pPr>
      <w:r>
        <w:rPr>
          <w:rFonts w:hint="eastAsia" w:hAnsi="宋体"/>
          <w:kern w:val="2"/>
          <w:sz w:val="28"/>
          <w:szCs w:val="28"/>
        </w:rPr>
        <w:t xml:space="preserve"> </w:t>
      </w:r>
      <w:r>
        <w:rPr>
          <w:rFonts w:hAnsi="宋体"/>
          <w:kern w:val="2"/>
          <w:sz w:val="28"/>
          <w:szCs w:val="28"/>
        </w:rPr>
        <w:t xml:space="preserve">    </w:t>
      </w:r>
      <w:r>
        <w:rPr>
          <w:rFonts w:hint="eastAsia" w:ascii="Times New Roman" w:hAnsi="Times New Roman"/>
          <w:b/>
          <w:bCs/>
          <w:kern w:val="2"/>
          <w:sz w:val="28"/>
          <w:szCs w:val="28"/>
        </w:rPr>
        <w:t>消防安全评估技术方案</w:t>
      </w:r>
    </w:p>
    <w:p w14:paraId="1BE32290">
      <w:pPr>
        <w:pStyle w:val="72"/>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（参比人提供满足询比文件要求的技术方案）</w:t>
      </w:r>
    </w:p>
    <w:p w14:paraId="2856823D">
      <w:pPr>
        <w:pStyle w:val="54"/>
        <w:jc w:val="center"/>
        <w:rPr>
          <w:color w:val="FF0000"/>
          <w:kern w:val="2"/>
        </w:rPr>
      </w:pPr>
    </w:p>
    <w:p w14:paraId="424DDF7A">
      <w:pPr>
        <w:pStyle w:val="54"/>
        <w:jc w:val="center"/>
        <w:rPr>
          <w:color w:val="0000FF"/>
          <w:kern w:val="2"/>
        </w:rPr>
      </w:pPr>
    </w:p>
    <w:p w14:paraId="4C24F789">
      <w:pPr>
        <w:pStyle w:val="54"/>
        <w:jc w:val="center"/>
        <w:rPr>
          <w:color w:val="0000FF"/>
          <w:kern w:val="2"/>
        </w:rPr>
      </w:pPr>
    </w:p>
    <w:p w14:paraId="441C2CFD">
      <w:pPr>
        <w:pStyle w:val="54"/>
        <w:ind w:firstLine="562" w:firstLineChars="200"/>
        <w:rPr>
          <w:rFonts w:ascii="Times New Roman" w:hAnsi="Times New Roman"/>
          <w:b/>
          <w:bCs/>
          <w:kern w:val="2"/>
          <w:sz w:val="28"/>
          <w:szCs w:val="28"/>
        </w:rPr>
      </w:pPr>
      <w:r>
        <w:rPr>
          <w:rFonts w:hint="eastAsia" w:ascii="Times New Roman" w:hAnsi="Times New Roman"/>
          <w:b/>
          <w:bCs/>
          <w:kern w:val="2"/>
          <w:sz w:val="28"/>
          <w:szCs w:val="28"/>
        </w:rPr>
        <w:t>消防安全评估人员资质及履历</w:t>
      </w:r>
    </w:p>
    <w:p w14:paraId="1DC89A4D">
      <w:pPr>
        <w:pStyle w:val="72"/>
        <w:spacing w:beforeLines="0" w:afterLines="0" w:line="240" w:lineRule="auto"/>
        <w:ind w:firstLine="0" w:firstLineChars="0"/>
        <w:jc w:val="center"/>
        <w:rPr>
          <w:rFonts w:ascii="Times New Roman" w:hAnsi="Times New Roman" w:cs="Times New Roman"/>
          <w:b/>
          <w:color w:val="FF0000"/>
          <w:sz w:val="24"/>
          <w:szCs w:val="24"/>
          <w:u w:val="single"/>
          <w:lang w:eastAsia="zh-CN"/>
        </w:rPr>
      </w:pPr>
      <w:r>
        <w:rPr>
          <w:rFonts w:hint="eastAsia" w:ascii="Times New Roman" w:hAnsi="Times New Roman" w:cs="Times New Roman"/>
          <w:b/>
          <w:color w:val="FF0000"/>
          <w:sz w:val="24"/>
          <w:szCs w:val="24"/>
          <w:u w:val="single"/>
          <w:lang w:eastAsia="zh-CN"/>
        </w:rPr>
        <w:t>（如内容超过一页，可附页）</w:t>
      </w:r>
    </w:p>
    <w:p w14:paraId="462328A3">
      <w:pPr>
        <w:pStyle w:val="54"/>
        <w:jc w:val="center"/>
        <w:rPr>
          <w:rFonts w:ascii="Times New Roman" w:hAnsi="Times New Roman"/>
          <w:b/>
          <w:bCs/>
          <w:kern w:val="2"/>
          <w:sz w:val="36"/>
          <w:szCs w:val="36"/>
        </w:rPr>
      </w:pPr>
    </w:p>
    <w:p w14:paraId="0B510064">
      <w:pPr>
        <w:pStyle w:val="54"/>
        <w:jc w:val="center"/>
        <w:rPr>
          <w:rFonts w:ascii="Times New Roman" w:hAnsi="Times New Roman"/>
          <w:b/>
          <w:bCs/>
          <w:kern w:val="2"/>
          <w:sz w:val="36"/>
          <w:szCs w:val="36"/>
        </w:rPr>
      </w:pPr>
    </w:p>
    <w:p w14:paraId="6EDF8FE7">
      <w:pPr>
        <w:pStyle w:val="54"/>
        <w:jc w:val="center"/>
        <w:rPr>
          <w:rFonts w:ascii="Times New Roman" w:hAnsi="Times New Roman"/>
          <w:b/>
          <w:bCs/>
          <w:kern w:val="2"/>
          <w:sz w:val="36"/>
          <w:szCs w:val="36"/>
        </w:rPr>
      </w:pPr>
    </w:p>
    <w:p w14:paraId="446995C4">
      <w:pPr>
        <w:pStyle w:val="54"/>
        <w:rPr>
          <w:sz w:val="28"/>
          <w:szCs w:val="28"/>
        </w:rPr>
      </w:pPr>
    </w:p>
    <w:p w14:paraId="191540EA">
      <w:pPr>
        <w:pStyle w:val="54"/>
        <w:rPr>
          <w:sz w:val="28"/>
          <w:szCs w:val="28"/>
        </w:rPr>
      </w:pPr>
    </w:p>
    <w:p w14:paraId="646644C2">
      <w:pPr>
        <w:pStyle w:val="54"/>
        <w:rPr>
          <w:sz w:val="28"/>
          <w:szCs w:val="28"/>
        </w:rPr>
      </w:pPr>
    </w:p>
    <w:p w14:paraId="4063643E">
      <w:pPr>
        <w:pStyle w:val="54"/>
        <w:rPr>
          <w:sz w:val="28"/>
          <w:szCs w:val="28"/>
        </w:rPr>
      </w:pPr>
    </w:p>
    <w:p w14:paraId="5C83A344">
      <w:pPr>
        <w:pStyle w:val="54"/>
        <w:rPr>
          <w:sz w:val="28"/>
          <w:szCs w:val="28"/>
        </w:rPr>
      </w:pPr>
    </w:p>
    <w:p w14:paraId="791D3394">
      <w:pPr>
        <w:pStyle w:val="54"/>
        <w:rPr>
          <w:sz w:val="28"/>
          <w:szCs w:val="28"/>
        </w:rPr>
      </w:pPr>
    </w:p>
    <w:p w14:paraId="0BC21F49">
      <w:pPr>
        <w:pStyle w:val="54"/>
        <w:rPr>
          <w:sz w:val="28"/>
          <w:szCs w:val="28"/>
        </w:rPr>
      </w:pPr>
    </w:p>
    <w:p w14:paraId="7ED6DD02">
      <w:pPr>
        <w:pStyle w:val="54"/>
        <w:rPr>
          <w:sz w:val="28"/>
          <w:szCs w:val="28"/>
        </w:rPr>
      </w:pPr>
    </w:p>
    <w:p w14:paraId="43307B93">
      <w:pPr>
        <w:pStyle w:val="54"/>
        <w:rPr>
          <w:sz w:val="28"/>
          <w:szCs w:val="28"/>
        </w:rPr>
      </w:pPr>
    </w:p>
    <w:p w14:paraId="0B2A98FA">
      <w:pPr>
        <w:pStyle w:val="54"/>
        <w:rPr>
          <w:sz w:val="28"/>
          <w:szCs w:val="28"/>
        </w:rPr>
      </w:pPr>
    </w:p>
    <w:p w14:paraId="4D9BCA31">
      <w:pPr>
        <w:pStyle w:val="54"/>
        <w:rPr>
          <w:sz w:val="28"/>
          <w:szCs w:val="28"/>
        </w:rPr>
      </w:pPr>
    </w:p>
    <w:p w14:paraId="35A3FEAA">
      <w:pPr>
        <w:pStyle w:val="54"/>
        <w:rPr>
          <w:sz w:val="28"/>
          <w:szCs w:val="28"/>
        </w:rPr>
      </w:pPr>
    </w:p>
    <w:p w14:paraId="79346BBA">
      <w:pPr>
        <w:pStyle w:val="54"/>
        <w:rPr>
          <w:sz w:val="28"/>
          <w:szCs w:val="28"/>
        </w:rPr>
      </w:pPr>
      <w:r>
        <w:rPr>
          <w:sz w:val="28"/>
          <w:szCs w:val="28"/>
        </w:rPr>
        <w:t>附件</w:t>
      </w:r>
      <w:r>
        <w:rPr>
          <w:rFonts w:hint="eastAsia"/>
          <w:sz w:val="28"/>
          <w:szCs w:val="28"/>
        </w:rPr>
        <w:t>6：</w:t>
      </w:r>
    </w:p>
    <w:p w14:paraId="1A8A18E3">
      <w:pPr>
        <w:spacing w:line="360" w:lineRule="auto"/>
        <w:jc w:val="center"/>
        <w:rPr>
          <w:rFonts w:ascii="Times New Roman" w:hAnsi="Times New Roman"/>
          <w:sz w:val="28"/>
          <w:szCs w:val="28"/>
          <w:lang w:eastAsia="zh-CN"/>
        </w:rPr>
      </w:pPr>
      <w:r>
        <w:rPr>
          <w:rFonts w:hint="eastAsia" w:ascii="Times New Roman" w:hAnsi="Times New Roman" w:cs="Times New Roman"/>
          <w:b/>
          <w:sz w:val="36"/>
          <w:szCs w:val="36"/>
          <w:lang w:eastAsia="zh-CN"/>
        </w:rPr>
        <w:t xml:space="preserve">     商务报价单</w:t>
      </w:r>
    </w:p>
    <w:p w14:paraId="2943F9EB">
      <w:pPr>
        <w:pStyle w:val="72"/>
        <w:spacing w:beforeLines="0" w:afterLines="0" w:line="240" w:lineRule="auto"/>
        <w:ind w:firstLine="354" w:firstLineChars="147"/>
        <w:rPr>
          <w:rFonts w:ascii="Times New Roman" w:hAnsi="Times New Roman" w:cs="Times New Roman"/>
          <w:b/>
          <w:color w:val="FF0000"/>
          <w:sz w:val="24"/>
          <w:szCs w:val="24"/>
          <w:lang w:eastAsia="zh-CN"/>
        </w:rPr>
      </w:pPr>
      <w:r>
        <w:rPr>
          <w:rFonts w:hint="eastAsia" w:ascii="Times New Roman" w:hAnsi="Times New Roman" w:cs="Times New Roman"/>
          <w:b/>
          <w:color w:val="FF0000"/>
          <w:sz w:val="24"/>
          <w:szCs w:val="24"/>
          <w:lang w:eastAsia="zh-CN"/>
        </w:rPr>
        <w:t>（注：本报价单和附表需单独盖章密封）</w:t>
      </w:r>
    </w:p>
    <w:p w14:paraId="13DBB43F">
      <w:pPr>
        <w:spacing w:line="360" w:lineRule="auto"/>
        <w:rPr>
          <w:rFonts w:ascii="Times New Roman"/>
          <w:sz w:val="28"/>
          <w:szCs w:val="28"/>
          <w:lang w:eastAsia="zh-CN"/>
        </w:rPr>
      </w:pPr>
      <w:r>
        <w:rPr>
          <w:rFonts w:hint="eastAsia" w:ascii="Times New Roman" w:hAnsi="Times New Roman"/>
          <w:sz w:val="28"/>
          <w:szCs w:val="28"/>
          <w:lang w:eastAsia="zh-CN"/>
        </w:rPr>
        <w:t>致：</w:t>
      </w:r>
      <w:r>
        <w:rPr>
          <w:rFonts w:hint="eastAsia" w:ascii="Times New Roman"/>
          <w:sz w:val="28"/>
          <w:szCs w:val="28"/>
          <w:lang w:eastAsia="zh-CN"/>
        </w:rPr>
        <w:t>福建福海创石油化工有限公司</w:t>
      </w:r>
    </w:p>
    <w:p w14:paraId="48F94D5D">
      <w:pPr>
        <w:spacing w:line="360" w:lineRule="auto"/>
        <w:ind w:firstLine="480" w:firstLineChars="200"/>
        <w:rPr>
          <w:rFonts w:ascii="Times New Roman" w:hAnsi="ˎ̥"/>
          <w:sz w:val="24"/>
          <w:szCs w:val="24"/>
          <w:lang w:eastAsia="zh-CN"/>
        </w:rPr>
      </w:pPr>
      <w:r>
        <w:rPr>
          <w:rFonts w:hint="eastAsia" w:ascii="Times New Roman" w:hAnsi="Times New Roman"/>
          <w:sz w:val="24"/>
          <w:szCs w:val="24"/>
          <w:lang w:eastAsia="zh-CN"/>
        </w:rPr>
        <w:t>在充分</w:t>
      </w:r>
      <w:r>
        <w:rPr>
          <w:rFonts w:hint="eastAsia" w:ascii="Times New Roman" w:hAnsi="ˎ̥"/>
          <w:sz w:val="24"/>
          <w:szCs w:val="24"/>
          <w:lang w:eastAsia="zh-CN"/>
        </w:rPr>
        <w:t>研究贵司火灾高危单位消防安全评估服务询比文件的全部内容后，我方愿以以下报价，严格按照询比文件的要求，交付本项目工作。</w:t>
      </w:r>
    </w:p>
    <w:p w14:paraId="4FCD6037">
      <w:pPr>
        <w:pStyle w:val="72"/>
        <w:spacing w:beforeLines="0" w:afterLines="0"/>
        <w:ind w:firstLine="470" w:firstLineChars="196"/>
        <w:rPr>
          <w:rFonts w:ascii="Times New Roman" w:hAnsi="Times New Roman" w:cs="Times New Roman"/>
          <w:b/>
          <w:sz w:val="24"/>
          <w:szCs w:val="24"/>
          <w:lang w:eastAsia="zh-CN"/>
        </w:rPr>
      </w:pPr>
      <w:r>
        <w:rPr>
          <w:rFonts w:hint="eastAsia"/>
          <w:sz w:val="24"/>
          <w:szCs w:val="24"/>
          <w:lang w:eastAsia="zh-CN"/>
        </w:rPr>
        <w:t>参选单位：</w:t>
      </w:r>
      <w:r>
        <w:rPr>
          <w:sz w:val="24"/>
          <w:szCs w:val="24"/>
          <w:lang w:eastAsia="zh-CN"/>
        </w:rPr>
        <w:t xml:space="preserve"> ____________________</w:t>
      </w:r>
    </w:p>
    <w:p w14:paraId="1F8AE056">
      <w:pPr>
        <w:spacing w:line="360" w:lineRule="auto"/>
        <w:ind w:firstLine="480" w:firstLineChars="200"/>
        <w:rPr>
          <w:sz w:val="24"/>
          <w:szCs w:val="24"/>
          <w:u w:val="single"/>
          <w:lang w:eastAsia="zh-CN"/>
        </w:rPr>
      </w:pPr>
      <w:r>
        <w:rPr>
          <w:rFonts w:hint="eastAsia"/>
          <w:sz w:val="24"/>
          <w:szCs w:val="24"/>
          <w:lang w:eastAsia="zh-CN"/>
        </w:rPr>
        <w:t>项目名称：</w:t>
      </w:r>
      <w:r>
        <w:rPr>
          <w:rFonts w:hint="eastAsia"/>
          <w:b/>
          <w:sz w:val="24"/>
          <w:u w:val="single"/>
          <w:lang w:eastAsia="zh-CN"/>
        </w:rPr>
        <w:t>2026年度火灾高危单位消防安全评估服务</w:t>
      </w:r>
      <w:r>
        <w:rPr>
          <w:rFonts w:hint="eastAsia" w:asciiTheme="majorEastAsia" w:hAnsiTheme="majorEastAsia" w:eastAsiaTheme="majorEastAsia"/>
          <w:b/>
          <w:bCs/>
          <w:sz w:val="24"/>
          <w:szCs w:val="24"/>
          <w:u w:val="single"/>
          <w:lang w:eastAsia="zh-CN"/>
        </w:rPr>
        <w:t>项目</w:t>
      </w:r>
      <w:r>
        <w:rPr>
          <w:rFonts w:hint="eastAsia" w:asciiTheme="majorEastAsia" w:hAnsiTheme="majorEastAsia" w:eastAsiaTheme="majorEastAsia"/>
          <w:sz w:val="24"/>
          <w:szCs w:val="24"/>
          <w:u w:val="single"/>
          <w:lang w:eastAsia="zh-CN"/>
        </w:rPr>
        <w:t xml:space="preserve"> </w:t>
      </w:r>
    </w:p>
    <w:p w14:paraId="71EDA013">
      <w:pPr>
        <w:spacing w:line="360" w:lineRule="auto"/>
        <w:ind w:firstLine="480" w:firstLineChars="200"/>
        <w:rPr>
          <w:sz w:val="24"/>
          <w:szCs w:val="24"/>
          <w:lang w:eastAsia="zh-CN"/>
        </w:rPr>
      </w:pPr>
      <w:r>
        <w:rPr>
          <w:rFonts w:hint="eastAsia"/>
          <w:sz w:val="24"/>
          <w:szCs w:val="24"/>
          <w:lang w:eastAsia="zh-CN"/>
        </w:rPr>
        <w:t>参选报价：</w:t>
      </w:r>
    </w:p>
    <w:p w14:paraId="4BDD9BF1">
      <w:pPr>
        <w:spacing w:line="360" w:lineRule="auto"/>
        <w:ind w:firstLine="1320" w:firstLineChars="550"/>
        <w:rPr>
          <w:sz w:val="24"/>
          <w:szCs w:val="24"/>
          <w:u w:val="single"/>
          <w:lang w:eastAsia="zh-CN"/>
        </w:rPr>
      </w:pPr>
      <w:r>
        <w:rPr>
          <w:rFonts w:hint="eastAsia"/>
          <w:sz w:val="24"/>
          <w:szCs w:val="24"/>
          <w:lang w:eastAsia="zh-CN"/>
        </w:rPr>
        <w:t>总报价:</w:t>
      </w:r>
      <w:r>
        <w:rPr>
          <w:rFonts w:hint="eastAsia"/>
          <w:sz w:val="24"/>
          <w:szCs w:val="24"/>
          <w:u w:val="single"/>
          <w:lang w:eastAsia="zh-CN"/>
        </w:rPr>
        <w:t xml:space="preserve">         元 </w:t>
      </w:r>
    </w:p>
    <w:p w14:paraId="5184CBC2">
      <w:pPr>
        <w:pStyle w:val="54"/>
        <w:spacing w:line="360" w:lineRule="auto"/>
        <w:rPr>
          <w:sz w:val="24"/>
          <w:szCs w:val="24"/>
        </w:rPr>
      </w:pPr>
      <w:r>
        <w:rPr>
          <w:rFonts w:hint="eastAsia"/>
        </w:rPr>
        <w:t xml:space="preserve">        </w:t>
      </w:r>
      <w:r>
        <w:rPr>
          <w:rFonts w:hint="eastAsia"/>
          <w:sz w:val="24"/>
          <w:szCs w:val="24"/>
        </w:rPr>
        <w:t xml:space="preserve"> 具体分项报价见附表“报价表”</w:t>
      </w:r>
    </w:p>
    <w:p w14:paraId="209E14B0">
      <w:pPr>
        <w:spacing w:line="360" w:lineRule="auto"/>
        <w:ind w:firstLine="720" w:firstLineChars="300"/>
        <w:rPr>
          <w:sz w:val="24"/>
          <w:szCs w:val="24"/>
          <w:lang w:eastAsia="zh-CN"/>
        </w:rPr>
      </w:pPr>
      <w:r>
        <w:rPr>
          <w:rFonts w:hint="eastAsia"/>
          <w:sz w:val="24"/>
          <w:szCs w:val="24"/>
          <w:lang w:eastAsia="zh-CN"/>
        </w:rPr>
        <w:t>注： 1、价格为含税价，</w:t>
      </w:r>
      <w:r>
        <w:rPr>
          <w:rFonts w:hint="eastAsia"/>
          <w:sz w:val="24"/>
          <w:szCs w:val="24"/>
          <w:highlight w:val="yellow"/>
          <w:lang w:eastAsia="zh-CN"/>
        </w:rPr>
        <w:t>税率：</w:t>
      </w:r>
      <w:r>
        <w:rPr>
          <w:rFonts w:hint="eastAsia"/>
          <w:sz w:val="24"/>
          <w:szCs w:val="24"/>
          <w:highlight w:val="yellow"/>
          <w:u w:val="single"/>
          <w:lang w:eastAsia="zh-CN"/>
        </w:rPr>
        <w:t xml:space="preserve">    %  </w:t>
      </w:r>
      <w:r>
        <w:rPr>
          <w:rFonts w:hint="eastAsia"/>
          <w:sz w:val="24"/>
          <w:szCs w:val="24"/>
          <w:highlight w:val="yellow"/>
          <w:lang w:eastAsia="zh-CN"/>
        </w:rPr>
        <w:t xml:space="preserve"> </w:t>
      </w:r>
      <w:r>
        <w:rPr>
          <w:rFonts w:hint="eastAsia"/>
          <w:sz w:val="24"/>
          <w:szCs w:val="24"/>
          <w:lang w:eastAsia="zh-CN"/>
        </w:rPr>
        <w:t>；</w:t>
      </w:r>
    </w:p>
    <w:p w14:paraId="4DF882E1">
      <w:pPr>
        <w:pStyle w:val="54"/>
        <w:spacing w:line="360" w:lineRule="auto"/>
        <w:rPr>
          <w:sz w:val="24"/>
          <w:szCs w:val="24"/>
        </w:rPr>
      </w:pPr>
      <w:r>
        <w:rPr>
          <w:rFonts w:hint="eastAsia"/>
          <w:sz w:val="24"/>
          <w:szCs w:val="24"/>
        </w:rPr>
        <w:t xml:space="preserve">           2、付款方式：</w:t>
      </w:r>
      <w:r>
        <w:rPr>
          <w:rFonts w:hint="eastAsia"/>
          <w:sz w:val="24"/>
          <w:szCs w:val="24"/>
          <w:u w:val="single"/>
        </w:rPr>
        <w:t xml:space="preserve"> 按询比文件要求内容 </w:t>
      </w:r>
      <w:r>
        <w:rPr>
          <w:rFonts w:hint="eastAsia"/>
          <w:sz w:val="24"/>
          <w:szCs w:val="24"/>
        </w:rPr>
        <w:t>；</w:t>
      </w:r>
    </w:p>
    <w:p w14:paraId="25A21C69">
      <w:pPr>
        <w:pStyle w:val="54"/>
        <w:spacing w:line="360" w:lineRule="auto"/>
        <w:rPr>
          <w:sz w:val="24"/>
          <w:szCs w:val="24"/>
          <w:u w:val="single"/>
        </w:rPr>
      </w:pPr>
      <w:r>
        <w:rPr>
          <w:rFonts w:hint="eastAsia"/>
          <w:sz w:val="24"/>
          <w:szCs w:val="24"/>
        </w:rPr>
        <w:t xml:space="preserve">           3、服务期限：</w:t>
      </w:r>
      <w:r>
        <w:rPr>
          <w:rFonts w:hint="eastAsia"/>
          <w:sz w:val="24"/>
          <w:szCs w:val="24"/>
          <w:u w:val="single"/>
        </w:rPr>
        <w:t xml:space="preserve">按询比文件要求内容   </w:t>
      </w:r>
    </w:p>
    <w:p w14:paraId="1CD78964">
      <w:pPr>
        <w:pStyle w:val="54"/>
        <w:spacing w:line="360" w:lineRule="auto"/>
        <w:ind w:firstLine="480" w:firstLineChars="200"/>
        <w:rPr>
          <w:sz w:val="24"/>
          <w:szCs w:val="24"/>
          <w:u w:val="single"/>
        </w:rPr>
      </w:pPr>
      <w:r>
        <w:rPr>
          <w:rFonts w:hint="eastAsia"/>
          <w:sz w:val="24"/>
          <w:szCs w:val="24"/>
        </w:rPr>
        <w:t>参比人：</w:t>
      </w:r>
      <w:r>
        <w:rPr>
          <w:rFonts w:hint="eastAsia"/>
          <w:sz w:val="24"/>
          <w:szCs w:val="24"/>
          <w:u w:val="single"/>
        </w:rPr>
        <w:t xml:space="preserve">      </w:t>
      </w:r>
      <w:r>
        <w:rPr>
          <w:rFonts w:hint="eastAsia"/>
          <w:color w:val="00B050"/>
          <w:sz w:val="24"/>
          <w:szCs w:val="24"/>
        </w:rPr>
        <w:t>（加盖参选单位章）</w:t>
      </w:r>
    </w:p>
    <w:p w14:paraId="405CBE1B">
      <w:pPr>
        <w:spacing w:line="360" w:lineRule="auto"/>
        <w:ind w:firstLine="480" w:firstLineChars="200"/>
        <w:rPr>
          <w:color w:val="00B050"/>
          <w:sz w:val="24"/>
          <w:szCs w:val="24"/>
          <w:lang w:eastAsia="zh-CN"/>
        </w:rPr>
      </w:pPr>
      <w:r>
        <w:rPr>
          <w:rFonts w:hint="eastAsia"/>
          <w:sz w:val="24"/>
          <w:szCs w:val="24"/>
          <w:lang w:eastAsia="zh-CN"/>
        </w:rPr>
        <w:t>法定代表人：</w:t>
      </w:r>
      <w:r>
        <w:rPr>
          <w:rFonts w:hint="eastAsia"/>
          <w:sz w:val="24"/>
          <w:szCs w:val="24"/>
          <w:u w:val="single"/>
          <w:lang w:eastAsia="zh-CN"/>
        </w:rPr>
        <w:t xml:space="preserve">                 </w:t>
      </w:r>
      <w:r>
        <w:rPr>
          <w:rFonts w:hint="eastAsia"/>
          <w:color w:val="00B050"/>
          <w:sz w:val="24"/>
          <w:szCs w:val="24"/>
          <w:lang w:eastAsia="zh-CN"/>
        </w:rPr>
        <w:t>（签字）</w:t>
      </w:r>
    </w:p>
    <w:p w14:paraId="5D156099">
      <w:pPr>
        <w:spacing w:line="360" w:lineRule="auto"/>
        <w:ind w:firstLine="480" w:firstLineChars="200"/>
        <w:rPr>
          <w:color w:val="C00000"/>
          <w:sz w:val="24"/>
          <w:szCs w:val="24"/>
          <w:u w:val="single"/>
          <w:lang w:eastAsia="zh-CN"/>
        </w:rPr>
      </w:pPr>
      <w:r>
        <w:rPr>
          <w:rFonts w:hint="eastAsia"/>
          <w:sz w:val="24"/>
          <w:szCs w:val="24"/>
          <w:lang w:eastAsia="zh-CN"/>
        </w:rPr>
        <w:t>或其授权委托代理人：</w:t>
      </w:r>
      <w:r>
        <w:rPr>
          <w:rFonts w:hint="eastAsia"/>
          <w:sz w:val="24"/>
          <w:szCs w:val="24"/>
          <w:u w:val="single"/>
          <w:lang w:eastAsia="zh-CN"/>
        </w:rPr>
        <w:t xml:space="preserve">                 </w:t>
      </w:r>
      <w:r>
        <w:rPr>
          <w:sz w:val="24"/>
          <w:szCs w:val="24"/>
          <w:lang w:eastAsia="zh-CN"/>
        </w:rPr>
        <w:t>_</w:t>
      </w:r>
      <w:r>
        <w:rPr>
          <w:rFonts w:hint="eastAsia"/>
          <w:color w:val="00B050"/>
          <w:sz w:val="24"/>
          <w:szCs w:val="24"/>
          <w:lang w:eastAsia="zh-CN"/>
        </w:rPr>
        <w:t>（签字）</w:t>
      </w:r>
    </w:p>
    <w:p w14:paraId="276B1CA2">
      <w:pPr>
        <w:pStyle w:val="54"/>
        <w:ind w:firstLine="2160" w:firstLineChars="900"/>
      </w:pPr>
      <w:r>
        <w:rPr>
          <w:rFonts w:hint="eastAsia"/>
          <w:sz w:val="24"/>
          <w:szCs w:val="24"/>
        </w:rPr>
        <w:t xml:space="preserve">编制时间： </w:t>
      </w:r>
      <w:r>
        <w:rPr>
          <w:rFonts w:hint="eastAsia"/>
          <w:sz w:val="24"/>
          <w:szCs w:val="24"/>
          <w:u w:val="single"/>
        </w:rPr>
        <w:t xml:space="preserve">      年   月   日</w:t>
      </w:r>
    </w:p>
    <w:p w14:paraId="0ABAF55A">
      <w:pPr>
        <w:pStyle w:val="54"/>
      </w:pPr>
    </w:p>
    <w:p w14:paraId="5D4AE927">
      <w:pPr>
        <w:spacing w:line="460" w:lineRule="exact"/>
        <w:ind w:firstLine="560" w:firstLineChars="200"/>
        <w:rPr>
          <w:sz w:val="28"/>
          <w:lang w:eastAsia="zh-CN"/>
        </w:rPr>
      </w:pPr>
      <w:r>
        <w:rPr>
          <w:sz w:val="28"/>
          <w:lang w:eastAsia="zh-CN"/>
        </w:rPr>
        <w:t>附表</w:t>
      </w:r>
      <w:r>
        <w:rPr>
          <w:rFonts w:hint="eastAsia"/>
          <w:sz w:val="28"/>
          <w:lang w:eastAsia="zh-CN"/>
        </w:rPr>
        <w:t>：</w:t>
      </w:r>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7"/>
        <w:gridCol w:w="3982"/>
        <w:gridCol w:w="1650"/>
        <w:gridCol w:w="2001"/>
      </w:tblGrid>
      <w:tr w14:paraId="3297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907" w:type="dxa"/>
            <w:vAlign w:val="center"/>
          </w:tcPr>
          <w:p w14:paraId="4EA0E2C0">
            <w:pPr>
              <w:pStyle w:val="54"/>
              <w:jc w:val="center"/>
              <w:rPr>
                <w:sz w:val="24"/>
                <w:szCs w:val="24"/>
              </w:rPr>
            </w:pPr>
            <w:r>
              <w:rPr>
                <w:rFonts w:hint="eastAsia"/>
                <w:sz w:val="24"/>
                <w:szCs w:val="24"/>
              </w:rPr>
              <w:t>序号</w:t>
            </w:r>
          </w:p>
        </w:tc>
        <w:tc>
          <w:tcPr>
            <w:tcW w:w="3982" w:type="dxa"/>
            <w:vAlign w:val="center"/>
          </w:tcPr>
          <w:p w14:paraId="3E6345F6">
            <w:pPr>
              <w:pStyle w:val="54"/>
              <w:jc w:val="center"/>
              <w:rPr>
                <w:sz w:val="24"/>
                <w:szCs w:val="24"/>
              </w:rPr>
            </w:pPr>
            <w:r>
              <w:rPr>
                <w:rFonts w:hint="eastAsia"/>
                <w:sz w:val="24"/>
                <w:szCs w:val="24"/>
              </w:rPr>
              <w:t>项目内容</w:t>
            </w:r>
          </w:p>
        </w:tc>
        <w:tc>
          <w:tcPr>
            <w:tcW w:w="1650" w:type="dxa"/>
            <w:vAlign w:val="center"/>
          </w:tcPr>
          <w:p w14:paraId="1092B591">
            <w:pPr>
              <w:pStyle w:val="54"/>
              <w:jc w:val="center"/>
              <w:rPr>
                <w:sz w:val="24"/>
                <w:szCs w:val="24"/>
              </w:rPr>
            </w:pPr>
            <w:r>
              <w:rPr>
                <w:rFonts w:hint="eastAsia"/>
                <w:sz w:val="24"/>
                <w:szCs w:val="24"/>
              </w:rPr>
              <w:t>价格</w:t>
            </w:r>
          </w:p>
          <w:p w14:paraId="1FCD8267">
            <w:pPr>
              <w:pStyle w:val="54"/>
              <w:jc w:val="center"/>
              <w:rPr>
                <w:sz w:val="24"/>
                <w:szCs w:val="24"/>
              </w:rPr>
            </w:pPr>
            <w:r>
              <w:rPr>
                <w:rFonts w:hint="eastAsia"/>
                <w:sz w:val="24"/>
                <w:szCs w:val="24"/>
              </w:rPr>
              <w:t>（元）</w:t>
            </w:r>
          </w:p>
        </w:tc>
        <w:tc>
          <w:tcPr>
            <w:tcW w:w="2001" w:type="dxa"/>
            <w:vAlign w:val="center"/>
          </w:tcPr>
          <w:p w14:paraId="48E21637">
            <w:pPr>
              <w:pStyle w:val="54"/>
              <w:jc w:val="center"/>
              <w:rPr>
                <w:rFonts w:hint="eastAsia"/>
                <w:sz w:val="24"/>
                <w:szCs w:val="24"/>
                <w:lang w:val="en-US" w:eastAsia="zh-CN"/>
              </w:rPr>
            </w:pPr>
            <w:r>
              <w:rPr>
                <w:rFonts w:hint="eastAsia"/>
                <w:sz w:val="24"/>
                <w:szCs w:val="24"/>
                <w:lang w:val="en-US" w:eastAsia="zh-CN"/>
              </w:rPr>
              <w:t>最高限价</w:t>
            </w:r>
          </w:p>
          <w:p w14:paraId="48610C7C">
            <w:pPr>
              <w:pStyle w:val="54"/>
              <w:jc w:val="center"/>
              <w:rPr>
                <w:rFonts w:hint="default" w:eastAsia="宋体"/>
                <w:sz w:val="24"/>
                <w:szCs w:val="24"/>
                <w:lang w:val="en-US" w:eastAsia="zh-CN"/>
              </w:rPr>
            </w:pPr>
            <w:r>
              <w:rPr>
                <w:rFonts w:hint="eastAsia"/>
                <w:sz w:val="24"/>
                <w:szCs w:val="24"/>
                <w:lang w:val="en-US" w:eastAsia="zh-CN"/>
              </w:rPr>
              <w:t>（万元）</w:t>
            </w:r>
          </w:p>
        </w:tc>
      </w:tr>
      <w:tr w14:paraId="2AB06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07" w:type="dxa"/>
            <w:vAlign w:val="center"/>
          </w:tcPr>
          <w:p w14:paraId="15566B57">
            <w:pPr>
              <w:pStyle w:val="54"/>
              <w:jc w:val="center"/>
              <w:rPr>
                <w:sz w:val="24"/>
                <w:szCs w:val="24"/>
              </w:rPr>
            </w:pPr>
            <w:r>
              <w:rPr>
                <w:rFonts w:hint="eastAsia"/>
                <w:sz w:val="24"/>
                <w:szCs w:val="24"/>
              </w:rPr>
              <w:t>1</w:t>
            </w:r>
          </w:p>
        </w:tc>
        <w:tc>
          <w:tcPr>
            <w:tcW w:w="3982" w:type="dxa"/>
            <w:vAlign w:val="center"/>
          </w:tcPr>
          <w:p w14:paraId="0311F7F5">
            <w:pPr>
              <w:pStyle w:val="54"/>
              <w:jc w:val="center"/>
              <w:rPr>
                <w:sz w:val="24"/>
                <w:szCs w:val="24"/>
              </w:rPr>
            </w:pPr>
            <w:r>
              <w:rPr>
                <w:rFonts w:hint="eastAsia"/>
                <w:sz w:val="24"/>
                <w:szCs w:val="24"/>
              </w:rPr>
              <w:t>福建福海创石油化工有限公司厂区</w:t>
            </w:r>
          </w:p>
        </w:tc>
        <w:tc>
          <w:tcPr>
            <w:tcW w:w="1650" w:type="dxa"/>
            <w:vAlign w:val="center"/>
          </w:tcPr>
          <w:p w14:paraId="21737D70">
            <w:pPr>
              <w:pStyle w:val="54"/>
              <w:jc w:val="center"/>
              <w:rPr>
                <w:sz w:val="24"/>
                <w:szCs w:val="24"/>
              </w:rPr>
            </w:pPr>
          </w:p>
        </w:tc>
        <w:tc>
          <w:tcPr>
            <w:tcW w:w="2001" w:type="dxa"/>
            <w:vAlign w:val="center"/>
          </w:tcPr>
          <w:p w14:paraId="378E02D8">
            <w:pPr>
              <w:pStyle w:val="54"/>
              <w:jc w:val="center"/>
              <w:rPr>
                <w:rFonts w:hint="default" w:eastAsia="宋体"/>
                <w:sz w:val="24"/>
                <w:szCs w:val="24"/>
                <w:lang w:val="en-US" w:eastAsia="zh-CN"/>
              </w:rPr>
            </w:pPr>
            <w:r>
              <w:rPr>
                <w:rFonts w:hint="eastAsia"/>
                <w:sz w:val="24"/>
                <w:szCs w:val="24"/>
                <w:lang w:val="en-US" w:eastAsia="zh-CN"/>
              </w:rPr>
              <w:t>12.00</w:t>
            </w:r>
          </w:p>
        </w:tc>
      </w:tr>
      <w:tr w14:paraId="290EC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907" w:type="dxa"/>
            <w:vAlign w:val="center"/>
          </w:tcPr>
          <w:p w14:paraId="15FA9FA4">
            <w:pPr>
              <w:pStyle w:val="54"/>
              <w:jc w:val="center"/>
              <w:rPr>
                <w:sz w:val="24"/>
                <w:szCs w:val="24"/>
              </w:rPr>
            </w:pPr>
            <w:r>
              <w:rPr>
                <w:rFonts w:hint="eastAsia"/>
                <w:sz w:val="24"/>
                <w:szCs w:val="24"/>
              </w:rPr>
              <w:t>2</w:t>
            </w:r>
          </w:p>
        </w:tc>
        <w:tc>
          <w:tcPr>
            <w:tcW w:w="3982" w:type="dxa"/>
            <w:vAlign w:val="center"/>
          </w:tcPr>
          <w:p w14:paraId="27833E1F">
            <w:pPr>
              <w:pStyle w:val="54"/>
              <w:jc w:val="center"/>
              <w:rPr>
                <w:sz w:val="24"/>
                <w:szCs w:val="24"/>
              </w:rPr>
            </w:pPr>
            <w:r>
              <w:rPr>
                <w:rFonts w:hint="eastAsia"/>
                <w:sz w:val="24"/>
                <w:szCs w:val="24"/>
              </w:rPr>
              <w:t>腾龙芳烃（漳州）有限公司厂区</w:t>
            </w:r>
          </w:p>
        </w:tc>
        <w:tc>
          <w:tcPr>
            <w:tcW w:w="1650" w:type="dxa"/>
            <w:vAlign w:val="center"/>
          </w:tcPr>
          <w:p w14:paraId="575848CC">
            <w:pPr>
              <w:pStyle w:val="54"/>
              <w:jc w:val="center"/>
              <w:rPr>
                <w:sz w:val="24"/>
                <w:szCs w:val="24"/>
              </w:rPr>
            </w:pPr>
          </w:p>
        </w:tc>
        <w:tc>
          <w:tcPr>
            <w:tcW w:w="2001" w:type="dxa"/>
            <w:vAlign w:val="center"/>
          </w:tcPr>
          <w:p w14:paraId="5316799B">
            <w:pPr>
              <w:pStyle w:val="54"/>
              <w:jc w:val="center"/>
              <w:rPr>
                <w:rFonts w:hint="default" w:eastAsia="宋体"/>
                <w:sz w:val="24"/>
                <w:szCs w:val="24"/>
                <w:lang w:val="en-US" w:eastAsia="zh-CN"/>
              </w:rPr>
            </w:pPr>
            <w:r>
              <w:rPr>
                <w:rFonts w:hint="eastAsia"/>
                <w:sz w:val="24"/>
                <w:szCs w:val="24"/>
                <w:lang w:val="en-US" w:eastAsia="zh-CN"/>
              </w:rPr>
              <w:t>6.00</w:t>
            </w:r>
          </w:p>
        </w:tc>
      </w:tr>
      <w:tr w14:paraId="59C9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4889" w:type="dxa"/>
            <w:gridSpan w:val="2"/>
            <w:vAlign w:val="center"/>
          </w:tcPr>
          <w:p w14:paraId="328946E3">
            <w:pPr>
              <w:pStyle w:val="54"/>
              <w:jc w:val="center"/>
              <w:rPr>
                <w:sz w:val="24"/>
                <w:szCs w:val="24"/>
              </w:rPr>
            </w:pPr>
            <w:r>
              <w:rPr>
                <w:rFonts w:hint="eastAsia"/>
                <w:sz w:val="24"/>
                <w:szCs w:val="24"/>
              </w:rPr>
              <w:t>总 价(元）</w:t>
            </w:r>
          </w:p>
        </w:tc>
        <w:tc>
          <w:tcPr>
            <w:tcW w:w="3651" w:type="dxa"/>
            <w:gridSpan w:val="2"/>
            <w:vAlign w:val="center"/>
          </w:tcPr>
          <w:p w14:paraId="3EFB60C2">
            <w:pPr>
              <w:pStyle w:val="54"/>
              <w:jc w:val="center"/>
              <w:rPr>
                <w:sz w:val="24"/>
                <w:szCs w:val="24"/>
              </w:rPr>
            </w:pPr>
          </w:p>
        </w:tc>
      </w:tr>
    </w:tbl>
    <w:p w14:paraId="05967381">
      <w:pPr>
        <w:pStyle w:val="54"/>
      </w:pPr>
    </w:p>
    <w:bookmarkEnd w:id="13"/>
    <w:p w14:paraId="2264F652">
      <w:pPr>
        <w:spacing w:line="460" w:lineRule="exact"/>
        <w:ind w:firstLine="560" w:firstLineChars="200"/>
        <w:rPr>
          <w:sz w:val="28"/>
          <w:lang w:eastAsia="zh-CN"/>
        </w:rPr>
      </w:pPr>
    </w:p>
    <w:sectPr>
      <w:footerReference r:id="rId4" w:type="default"/>
      <w:pgSz w:w="11910" w:h="16840"/>
      <w:pgMar w:top="1500" w:right="1210" w:bottom="740" w:left="124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panose1 w:val="020B0604020202020204"/>
    <w:charset w:val="86"/>
    <w:family w:val="swiss"/>
    <w:pitch w:val="default"/>
    <w:sig w:usb0="FFFFFFFF" w:usb1="E9FFFFFF" w:usb2="0000003F" w:usb3="00000000" w:csb0="603F01FF" w:csb1="FFFF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微软雅黑"/>
    <w:panose1 w:val="00000000000000000000"/>
    <w:charset w:val="86"/>
    <w:family w:val="script"/>
    <w:pitch w:val="default"/>
    <w:sig w:usb0="00000000" w:usb1="00000000" w:usb2="00000010" w:usb3="00000000" w:csb0="00040000" w:csb1="00000000"/>
  </w:font>
  <w:font w:name="ˎ̥">
    <w:altName w:val="Times New Roman"/>
    <w:panose1 w:val="00000000000000000000"/>
    <w:charset w:val="00"/>
    <w:family w:val="roman"/>
    <w:pitch w:val="default"/>
    <w:sig w:usb0="00000000" w:usb1="00000000" w:usb2="00000000" w:usb3="00000000" w:csb0="00040001" w:csb1="00000000"/>
  </w:font>
  <w:font w:name="KSOFBDA573BA">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CBA77">
    <w:pPr>
      <w:pStyle w:val="19"/>
      <w:spacing w:line="14" w:lineRule="auto"/>
      <w:rPr>
        <w:sz w:val="20"/>
      </w:rPr>
    </w:pPr>
    <w:r>
      <w:rPr>
        <w:lang w:eastAsia="zh-CN"/>
      </w:rPr>
      <mc:AlternateContent>
        <mc:Choice Requires="wps">
          <w:drawing>
            <wp:anchor distT="0" distB="0" distL="114300" distR="114300" simplePos="0" relativeHeight="251659264" behindDoc="1" locked="0" layoutInCell="1" allowOverlap="1">
              <wp:simplePos x="0" y="0"/>
              <wp:positionH relativeFrom="page">
                <wp:posOffset>3885565</wp:posOffset>
              </wp:positionH>
              <wp:positionV relativeFrom="page">
                <wp:posOffset>10203180</wp:posOffset>
              </wp:positionV>
              <wp:extent cx="482600" cy="152400"/>
              <wp:effectExtent l="0" t="1905" r="3810" b="0"/>
              <wp:wrapNone/>
              <wp:docPr id="2" name="Text Box 1026"/>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wps:spPr>
                    <wps:txbx>
                      <w:txbxContent>
                        <w:p w14:paraId="00585D9F">
                          <w:pPr>
                            <w:spacing w:line="219" w:lineRule="exact"/>
                            <w:ind w:left="20"/>
                            <w:rPr>
                              <w:sz w:val="18"/>
                            </w:rPr>
                          </w:pPr>
                        </w:p>
                      </w:txbxContent>
                    </wps:txbx>
                    <wps:bodyPr rot="0" vert="horz" wrap="square" lIns="0" tIns="0" rIns="0" bIns="0" anchor="t" anchorCtr="0" upright="1">
                      <a:noAutofit/>
                    </wps:bodyPr>
                  </wps:wsp>
                </a:graphicData>
              </a:graphic>
            </wp:anchor>
          </w:drawing>
        </mc:Choice>
        <mc:Fallback>
          <w:pict>
            <v:shape id="Text Box 1026" o:spid="_x0000_s1026" o:spt="202" type="#_x0000_t202" style="position:absolute;left:0pt;margin-left:305.95pt;margin-top:803.4pt;height:12pt;width:38pt;mso-position-horizontal-relative:page;mso-position-vertical-relative:page;z-index:-251657216;mso-width-relative:page;mso-height-relative:page;" filled="f" stroked="f" coordsize="21600,21600" o:gfxdata="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oOnFXtkAAAANAQAADwAAAAAAAAABACAAAAAiAAAAZHJzL2Rvd25y&#10;ZXYueG1sUEsBAhQAFAAAAAgAh07iQC6ZcBb9AQAABgQAAA4AAAAAAAAAAQAgAAAAKAEAAGRycy9l&#10;Mm9Eb2MueG1sUEsFBgAAAAAGAAYAWQEAAJcFAAAAAA==&#10;">
              <v:fill on="f" focussize="0,0"/>
              <v:stroke on="f"/>
              <v:imagedata o:title=""/>
              <o:lock v:ext="edit" aspectratio="f"/>
              <v:textbox inset="0mm,0mm,0mm,0mm">
                <w:txbxContent>
                  <w:p w14:paraId="00585D9F">
                    <w:pPr>
                      <w:spacing w:line="219" w:lineRule="exact"/>
                      <w:ind w:left="2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E810B">
    <w:pPr>
      <w:pStyle w:val="19"/>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814CAC"/>
    <w:multiLevelType w:val="singleLevel"/>
    <w:tmpl w:val="98814CAC"/>
    <w:lvl w:ilvl="0" w:tentative="0">
      <w:start w:val="2"/>
      <w:numFmt w:val="decimal"/>
      <w:suff w:val="nothing"/>
      <w:lvlText w:val="%1、"/>
      <w:lvlJc w:val="left"/>
    </w:lvl>
  </w:abstractNum>
  <w:abstractNum w:abstractNumId="1">
    <w:nsid w:val="0248C179"/>
    <w:multiLevelType w:val="multilevel"/>
    <w:tmpl w:val="0248C179"/>
    <w:lvl w:ilvl="0" w:tentative="0">
      <w:start w:val="2"/>
      <w:numFmt w:val="decimal"/>
      <w:pStyle w:val="44"/>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2">
    <w:nsid w:val="14117DB0"/>
    <w:multiLevelType w:val="multilevel"/>
    <w:tmpl w:val="14117DB0"/>
    <w:lvl w:ilvl="0" w:tentative="0">
      <w:start w:val="1"/>
      <w:numFmt w:val="japaneseCounting"/>
      <w:lvlText w:val="%1、"/>
      <w:lvlJc w:val="left"/>
      <w:pPr>
        <w:ind w:left="1258" w:hanging="720"/>
      </w:pPr>
      <w:rPr>
        <w:rFonts w:hint="default"/>
      </w:rPr>
    </w:lvl>
    <w:lvl w:ilvl="1" w:tentative="0">
      <w:start w:val="1"/>
      <w:numFmt w:val="lowerLetter"/>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3">
    <w:nsid w:val="24C5566E"/>
    <w:multiLevelType w:val="multilevel"/>
    <w:tmpl w:val="24C5566E"/>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2E2C7A62"/>
    <w:multiLevelType w:val="multilevel"/>
    <w:tmpl w:val="2E2C7A62"/>
    <w:lvl w:ilvl="0" w:tentative="0">
      <w:start w:val="1"/>
      <w:numFmt w:val="japaneseCounting"/>
      <w:lvlText w:val="第%1条"/>
      <w:lvlJc w:val="left"/>
      <w:pPr>
        <w:tabs>
          <w:tab w:val="left" w:pos="750"/>
        </w:tabs>
        <w:ind w:left="750" w:hanging="750"/>
      </w:pPr>
      <w:rPr>
        <w:rFonts w:hint="default"/>
      </w:rPr>
    </w:lvl>
    <w:lvl w:ilvl="1" w:tentative="0">
      <w:start w:val="1"/>
      <w:numFmt w:val="decimal"/>
      <w:lvlText w:val="%2."/>
      <w:lvlJc w:val="left"/>
      <w:pPr>
        <w:tabs>
          <w:tab w:val="left" w:pos="420"/>
        </w:tabs>
        <w:ind w:left="420" w:hanging="420"/>
      </w:pPr>
      <w:rPr>
        <w:rFonts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3"/>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6">
    <w:nsid w:val="30014EE9"/>
    <w:multiLevelType w:val="multilevel"/>
    <w:tmpl w:val="30014EE9"/>
    <w:lvl w:ilvl="0" w:tentative="0">
      <w:start w:val="1"/>
      <w:numFmt w:val="upperLetter"/>
      <w:pStyle w:val="135"/>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7">
    <w:nsid w:val="3A451854"/>
    <w:multiLevelType w:val="multilevel"/>
    <w:tmpl w:val="3A451854"/>
    <w:lvl w:ilvl="0" w:tentative="0">
      <w:start w:val="1"/>
      <w:numFmt w:val="chineseCountingThousand"/>
      <w:pStyle w:val="180"/>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1"/>
      <w:lvlText w:val="第%2节"/>
      <w:lvlJc w:val="left"/>
      <w:pPr>
        <w:tabs>
          <w:tab w:val="left" w:pos="992"/>
        </w:tabs>
        <w:ind w:left="0" w:firstLine="0"/>
      </w:pPr>
      <w:rPr>
        <w:rFonts w:hint="eastAsia" w:ascii="宋体" w:eastAsia="宋体"/>
        <w:b/>
        <w:i w:val="0"/>
        <w:sz w:val="30"/>
        <w:szCs w:val="30"/>
      </w:rPr>
    </w:lvl>
    <w:lvl w:ilvl="2" w:tentative="0">
      <w:start w:val="1"/>
      <w:numFmt w:val="decimal"/>
      <w:pStyle w:val="182"/>
      <w:lvlText w:val="%3"/>
      <w:lvlJc w:val="left"/>
      <w:pPr>
        <w:tabs>
          <w:tab w:val="left" w:pos="567"/>
        </w:tabs>
        <w:ind w:left="0" w:firstLine="0"/>
      </w:pPr>
      <w:rPr>
        <w:rFonts w:hint="eastAsia" w:ascii="宋体" w:eastAsia="宋体"/>
        <w:b/>
        <w:i w:val="0"/>
        <w:sz w:val="24"/>
        <w:szCs w:val="24"/>
      </w:rPr>
    </w:lvl>
    <w:lvl w:ilvl="3" w:tentative="0">
      <w:start w:val="1"/>
      <w:numFmt w:val="decimal"/>
      <w:pStyle w:val="183"/>
      <w:lvlText w:val="%3.%4"/>
      <w:lvlJc w:val="left"/>
      <w:pPr>
        <w:tabs>
          <w:tab w:val="left" w:pos="737"/>
        </w:tabs>
        <w:ind w:left="0" w:firstLine="284"/>
      </w:pPr>
      <w:rPr>
        <w:rFonts w:hint="eastAsia" w:ascii="宋体" w:eastAsia="宋体"/>
        <w:b/>
        <w:i w:val="0"/>
        <w:sz w:val="24"/>
        <w:szCs w:val="24"/>
      </w:rPr>
    </w:lvl>
    <w:lvl w:ilvl="4" w:tentative="0">
      <w:start w:val="1"/>
      <w:numFmt w:val="decimal"/>
      <w:pStyle w:val="184"/>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5"/>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8">
    <w:nsid w:val="4304240D"/>
    <w:multiLevelType w:val="multilevel"/>
    <w:tmpl w:val="4304240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B44014A"/>
    <w:multiLevelType w:val="singleLevel"/>
    <w:tmpl w:val="4B44014A"/>
    <w:lvl w:ilvl="0" w:tentative="0">
      <w:start w:val="9"/>
      <w:numFmt w:val="chineseCounting"/>
      <w:suff w:val="nothing"/>
      <w:lvlText w:val="%1、"/>
      <w:lvlJc w:val="left"/>
      <w:rPr>
        <w:rFonts w:hint="eastAsia"/>
      </w:rPr>
    </w:lvl>
  </w:abstractNum>
  <w:abstractNum w:abstractNumId="10">
    <w:nsid w:val="56F825FE"/>
    <w:multiLevelType w:val="multilevel"/>
    <w:tmpl w:val="56F825FE"/>
    <w:lvl w:ilvl="0" w:tentative="0">
      <w:start w:val="9"/>
      <w:numFmt w:val="japaneseCounting"/>
      <w:lvlText w:val="第%1条"/>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5A241D34"/>
    <w:multiLevelType w:val="multilevel"/>
    <w:tmpl w:val="5A241D34"/>
    <w:lvl w:ilvl="0" w:tentative="0">
      <w:start w:val="1"/>
      <w:numFmt w:val="decimal"/>
      <w:pStyle w:val="14"/>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abstractNum w:abstractNumId="12">
    <w:nsid w:val="5A717BE2"/>
    <w:multiLevelType w:val="multilevel"/>
    <w:tmpl w:val="5A717BE2"/>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3">
    <w:nsid w:val="62576656"/>
    <w:multiLevelType w:val="multilevel"/>
    <w:tmpl w:val="62576656"/>
    <w:lvl w:ilvl="0" w:tentative="0">
      <w:start w:val="1"/>
      <w:numFmt w:val="decimalEnclosedCircle"/>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644F7DCF"/>
    <w:multiLevelType w:val="multilevel"/>
    <w:tmpl w:val="644F7DC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5">
    <w:nsid w:val="7EBA793F"/>
    <w:multiLevelType w:val="multilevel"/>
    <w:tmpl w:val="7EBA793F"/>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1"/>
  </w:num>
  <w:num w:numId="2">
    <w:abstractNumId w:val="1"/>
  </w:num>
  <w:num w:numId="3">
    <w:abstractNumId w:val="9"/>
  </w:num>
  <w:num w:numId="4">
    <w:abstractNumId w:val="5"/>
  </w:num>
  <w:num w:numId="5">
    <w:abstractNumId w:val="6"/>
  </w:num>
  <w:num w:numId="6">
    <w:abstractNumId w:val="7"/>
  </w:num>
  <w:num w:numId="7">
    <w:abstractNumId w:val="2"/>
  </w:num>
  <w:num w:numId="8">
    <w:abstractNumId w:val="13"/>
  </w:num>
  <w:num w:numId="9">
    <w:abstractNumId w:val="0"/>
  </w:num>
  <w:num w:numId="10">
    <w:abstractNumId w:val="4"/>
  </w:num>
  <w:num w:numId="11">
    <w:abstractNumId w:val="12"/>
  </w:num>
  <w:num w:numId="12">
    <w:abstractNumId w:val="14"/>
  </w:num>
  <w:num w:numId="13">
    <w:abstractNumId w:val="8"/>
  </w:num>
  <w:num w:numId="14">
    <w:abstractNumId w:val="15"/>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702"/>
    <w:rsid w:val="000004E6"/>
    <w:rsid w:val="000010FA"/>
    <w:rsid w:val="00001416"/>
    <w:rsid w:val="0000346F"/>
    <w:rsid w:val="00004C5E"/>
    <w:rsid w:val="000277D1"/>
    <w:rsid w:val="000367ED"/>
    <w:rsid w:val="00044AB5"/>
    <w:rsid w:val="00052C0E"/>
    <w:rsid w:val="000674E3"/>
    <w:rsid w:val="00074760"/>
    <w:rsid w:val="00085CA2"/>
    <w:rsid w:val="0009500D"/>
    <w:rsid w:val="000962C0"/>
    <w:rsid w:val="000A1C86"/>
    <w:rsid w:val="000A4B29"/>
    <w:rsid w:val="000A6182"/>
    <w:rsid w:val="000B0914"/>
    <w:rsid w:val="000B33F0"/>
    <w:rsid w:val="000B7FF3"/>
    <w:rsid w:val="000C34FC"/>
    <w:rsid w:val="000C57EB"/>
    <w:rsid w:val="000C629C"/>
    <w:rsid w:val="000D1AB8"/>
    <w:rsid w:val="000D35CF"/>
    <w:rsid w:val="000F116F"/>
    <w:rsid w:val="000F15E9"/>
    <w:rsid w:val="000F27AD"/>
    <w:rsid w:val="000F39C1"/>
    <w:rsid w:val="000F4255"/>
    <w:rsid w:val="00101100"/>
    <w:rsid w:val="001105B6"/>
    <w:rsid w:val="00111D19"/>
    <w:rsid w:val="00122E24"/>
    <w:rsid w:val="0012681B"/>
    <w:rsid w:val="0013034D"/>
    <w:rsid w:val="00130886"/>
    <w:rsid w:val="00142384"/>
    <w:rsid w:val="00142830"/>
    <w:rsid w:val="00146977"/>
    <w:rsid w:val="00150CB0"/>
    <w:rsid w:val="00154EB4"/>
    <w:rsid w:val="001660AB"/>
    <w:rsid w:val="00167AF2"/>
    <w:rsid w:val="0017526C"/>
    <w:rsid w:val="001763CF"/>
    <w:rsid w:val="0018116F"/>
    <w:rsid w:val="00185C58"/>
    <w:rsid w:val="001861E4"/>
    <w:rsid w:val="00192465"/>
    <w:rsid w:val="001933B5"/>
    <w:rsid w:val="00193817"/>
    <w:rsid w:val="001B5CD4"/>
    <w:rsid w:val="001B698B"/>
    <w:rsid w:val="001C5843"/>
    <w:rsid w:val="001C5AC9"/>
    <w:rsid w:val="001D13DE"/>
    <w:rsid w:val="001D79DF"/>
    <w:rsid w:val="001E0EEE"/>
    <w:rsid w:val="001E3C0E"/>
    <w:rsid w:val="001F3956"/>
    <w:rsid w:val="00200E20"/>
    <w:rsid w:val="0020141D"/>
    <w:rsid w:val="00227556"/>
    <w:rsid w:val="00233571"/>
    <w:rsid w:val="00235666"/>
    <w:rsid w:val="00241E6B"/>
    <w:rsid w:val="002427A9"/>
    <w:rsid w:val="002451B2"/>
    <w:rsid w:val="0024625A"/>
    <w:rsid w:val="00252C1A"/>
    <w:rsid w:val="002622A7"/>
    <w:rsid w:val="00263085"/>
    <w:rsid w:val="002648A2"/>
    <w:rsid w:val="00270F43"/>
    <w:rsid w:val="00273DCB"/>
    <w:rsid w:val="002859D4"/>
    <w:rsid w:val="0029141E"/>
    <w:rsid w:val="002A29D0"/>
    <w:rsid w:val="002A4126"/>
    <w:rsid w:val="002A68F0"/>
    <w:rsid w:val="002B6416"/>
    <w:rsid w:val="002C6A2D"/>
    <w:rsid w:val="002C6CC4"/>
    <w:rsid w:val="002E0F0C"/>
    <w:rsid w:val="002E3036"/>
    <w:rsid w:val="002E49DF"/>
    <w:rsid w:val="002E4DB0"/>
    <w:rsid w:val="002E6175"/>
    <w:rsid w:val="002F34BA"/>
    <w:rsid w:val="002F755A"/>
    <w:rsid w:val="003053B9"/>
    <w:rsid w:val="003102D1"/>
    <w:rsid w:val="003221F4"/>
    <w:rsid w:val="00322549"/>
    <w:rsid w:val="00327BFC"/>
    <w:rsid w:val="00331810"/>
    <w:rsid w:val="0033277A"/>
    <w:rsid w:val="003344D9"/>
    <w:rsid w:val="00342B24"/>
    <w:rsid w:val="003456D2"/>
    <w:rsid w:val="00347C37"/>
    <w:rsid w:val="00350BD1"/>
    <w:rsid w:val="003603CD"/>
    <w:rsid w:val="00364EB1"/>
    <w:rsid w:val="00365CCD"/>
    <w:rsid w:val="00376FF9"/>
    <w:rsid w:val="00383DFA"/>
    <w:rsid w:val="00385474"/>
    <w:rsid w:val="00387574"/>
    <w:rsid w:val="003C1AF2"/>
    <w:rsid w:val="003E32FE"/>
    <w:rsid w:val="003E37C1"/>
    <w:rsid w:val="003F0E38"/>
    <w:rsid w:val="003F3600"/>
    <w:rsid w:val="003F58A5"/>
    <w:rsid w:val="003F5B96"/>
    <w:rsid w:val="003F614D"/>
    <w:rsid w:val="003F6A6B"/>
    <w:rsid w:val="0040417A"/>
    <w:rsid w:val="00405092"/>
    <w:rsid w:val="00410C69"/>
    <w:rsid w:val="00413501"/>
    <w:rsid w:val="00420DB7"/>
    <w:rsid w:val="00437CA2"/>
    <w:rsid w:val="004462C7"/>
    <w:rsid w:val="00465443"/>
    <w:rsid w:val="00465D19"/>
    <w:rsid w:val="0047282D"/>
    <w:rsid w:val="0047402F"/>
    <w:rsid w:val="004835AF"/>
    <w:rsid w:val="00486DC2"/>
    <w:rsid w:val="00490A62"/>
    <w:rsid w:val="0049126B"/>
    <w:rsid w:val="00492D04"/>
    <w:rsid w:val="004A46AD"/>
    <w:rsid w:val="004A498D"/>
    <w:rsid w:val="004C16AE"/>
    <w:rsid w:val="004C1FF8"/>
    <w:rsid w:val="004D464C"/>
    <w:rsid w:val="004D6A19"/>
    <w:rsid w:val="004F4BA0"/>
    <w:rsid w:val="004F7495"/>
    <w:rsid w:val="00533119"/>
    <w:rsid w:val="005369F4"/>
    <w:rsid w:val="00547AD0"/>
    <w:rsid w:val="005518F3"/>
    <w:rsid w:val="00584740"/>
    <w:rsid w:val="0058671D"/>
    <w:rsid w:val="00593DEA"/>
    <w:rsid w:val="00595F8F"/>
    <w:rsid w:val="005A4D52"/>
    <w:rsid w:val="005B4BA0"/>
    <w:rsid w:val="005B6211"/>
    <w:rsid w:val="005C2D8A"/>
    <w:rsid w:val="005C43C4"/>
    <w:rsid w:val="005C6A76"/>
    <w:rsid w:val="005D122D"/>
    <w:rsid w:val="005D5BB2"/>
    <w:rsid w:val="005E2CFD"/>
    <w:rsid w:val="005E2EB3"/>
    <w:rsid w:val="005E30C3"/>
    <w:rsid w:val="006152B6"/>
    <w:rsid w:val="006238C7"/>
    <w:rsid w:val="006238EE"/>
    <w:rsid w:val="0062649F"/>
    <w:rsid w:val="00630128"/>
    <w:rsid w:val="006312AB"/>
    <w:rsid w:val="00632468"/>
    <w:rsid w:val="00632E52"/>
    <w:rsid w:val="00642E61"/>
    <w:rsid w:val="006458DE"/>
    <w:rsid w:val="0064592D"/>
    <w:rsid w:val="0065429C"/>
    <w:rsid w:val="00664A57"/>
    <w:rsid w:val="00664E56"/>
    <w:rsid w:val="00665534"/>
    <w:rsid w:val="00670447"/>
    <w:rsid w:val="0068315A"/>
    <w:rsid w:val="006A79DD"/>
    <w:rsid w:val="006A7EA8"/>
    <w:rsid w:val="006B21C2"/>
    <w:rsid w:val="006B3CB3"/>
    <w:rsid w:val="006B5E39"/>
    <w:rsid w:val="006B79D7"/>
    <w:rsid w:val="006C1395"/>
    <w:rsid w:val="006C3A25"/>
    <w:rsid w:val="006D4F96"/>
    <w:rsid w:val="006E0A7C"/>
    <w:rsid w:val="006E6D55"/>
    <w:rsid w:val="006F1148"/>
    <w:rsid w:val="006F7059"/>
    <w:rsid w:val="00701816"/>
    <w:rsid w:val="00702F42"/>
    <w:rsid w:val="00711047"/>
    <w:rsid w:val="00711389"/>
    <w:rsid w:val="00714008"/>
    <w:rsid w:val="00714DA2"/>
    <w:rsid w:val="00732878"/>
    <w:rsid w:val="00733A20"/>
    <w:rsid w:val="007422CA"/>
    <w:rsid w:val="00745779"/>
    <w:rsid w:val="00753C0F"/>
    <w:rsid w:val="007540CE"/>
    <w:rsid w:val="00755E15"/>
    <w:rsid w:val="007601EF"/>
    <w:rsid w:val="00760373"/>
    <w:rsid w:val="00770633"/>
    <w:rsid w:val="00786BE0"/>
    <w:rsid w:val="00792821"/>
    <w:rsid w:val="007931A4"/>
    <w:rsid w:val="00794F72"/>
    <w:rsid w:val="00795740"/>
    <w:rsid w:val="00795D02"/>
    <w:rsid w:val="007B1124"/>
    <w:rsid w:val="007B68DB"/>
    <w:rsid w:val="007B7828"/>
    <w:rsid w:val="007C2B12"/>
    <w:rsid w:val="007C6297"/>
    <w:rsid w:val="007C7F5F"/>
    <w:rsid w:val="007D17EF"/>
    <w:rsid w:val="007D4FB1"/>
    <w:rsid w:val="007D5F37"/>
    <w:rsid w:val="007D6D04"/>
    <w:rsid w:val="007E6A42"/>
    <w:rsid w:val="007E6CD1"/>
    <w:rsid w:val="007F3EB5"/>
    <w:rsid w:val="007F5D69"/>
    <w:rsid w:val="007F61D0"/>
    <w:rsid w:val="00803741"/>
    <w:rsid w:val="00804A52"/>
    <w:rsid w:val="008070E3"/>
    <w:rsid w:val="00811DBA"/>
    <w:rsid w:val="00826D77"/>
    <w:rsid w:val="008279D0"/>
    <w:rsid w:val="0083399E"/>
    <w:rsid w:val="00840870"/>
    <w:rsid w:val="008433A6"/>
    <w:rsid w:val="0085290F"/>
    <w:rsid w:val="00855428"/>
    <w:rsid w:val="00856B56"/>
    <w:rsid w:val="00856CF7"/>
    <w:rsid w:val="0086067A"/>
    <w:rsid w:val="00862896"/>
    <w:rsid w:val="00881942"/>
    <w:rsid w:val="008B40E0"/>
    <w:rsid w:val="008C16E6"/>
    <w:rsid w:val="008E1769"/>
    <w:rsid w:val="008E2155"/>
    <w:rsid w:val="008E5198"/>
    <w:rsid w:val="008F3559"/>
    <w:rsid w:val="009032FB"/>
    <w:rsid w:val="009124DE"/>
    <w:rsid w:val="00917368"/>
    <w:rsid w:val="00921083"/>
    <w:rsid w:val="00930487"/>
    <w:rsid w:val="009312CA"/>
    <w:rsid w:val="009372A0"/>
    <w:rsid w:val="00937414"/>
    <w:rsid w:val="00942881"/>
    <w:rsid w:val="0094438F"/>
    <w:rsid w:val="00955A6F"/>
    <w:rsid w:val="00964F96"/>
    <w:rsid w:val="009663D1"/>
    <w:rsid w:val="00967702"/>
    <w:rsid w:val="00971BD1"/>
    <w:rsid w:val="00974883"/>
    <w:rsid w:val="00975EAC"/>
    <w:rsid w:val="009873FF"/>
    <w:rsid w:val="009928C9"/>
    <w:rsid w:val="00995F84"/>
    <w:rsid w:val="0099730F"/>
    <w:rsid w:val="009A2514"/>
    <w:rsid w:val="009A6FD0"/>
    <w:rsid w:val="009B054A"/>
    <w:rsid w:val="009B2DE5"/>
    <w:rsid w:val="009B34B8"/>
    <w:rsid w:val="009D49AE"/>
    <w:rsid w:val="009F0778"/>
    <w:rsid w:val="00A149E5"/>
    <w:rsid w:val="00A153FC"/>
    <w:rsid w:val="00A16BAA"/>
    <w:rsid w:val="00A170EC"/>
    <w:rsid w:val="00A278D7"/>
    <w:rsid w:val="00A27B30"/>
    <w:rsid w:val="00A35601"/>
    <w:rsid w:val="00A37693"/>
    <w:rsid w:val="00A43221"/>
    <w:rsid w:val="00A45F18"/>
    <w:rsid w:val="00A47299"/>
    <w:rsid w:val="00A5748F"/>
    <w:rsid w:val="00A614C8"/>
    <w:rsid w:val="00A62247"/>
    <w:rsid w:val="00A6610B"/>
    <w:rsid w:val="00A70480"/>
    <w:rsid w:val="00A82B0B"/>
    <w:rsid w:val="00A8484F"/>
    <w:rsid w:val="00A878E0"/>
    <w:rsid w:val="00A91F6A"/>
    <w:rsid w:val="00A9762D"/>
    <w:rsid w:val="00AB77FF"/>
    <w:rsid w:val="00AC21FF"/>
    <w:rsid w:val="00AC3CFE"/>
    <w:rsid w:val="00AC7F0D"/>
    <w:rsid w:val="00AD0858"/>
    <w:rsid w:val="00AD202A"/>
    <w:rsid w:val="00AD24EC"/>
    <w:rsid w:val="00AD4DAF"/>
    <w:rsid w:val="00AD66E2"/>
    <w:rsid w:val="00AE0A76"/>
    <w:rsid w:val="00AF45D7"/>
    <w:rsid w:val="00B01F52"/>
    <w:rsid w:val="00B04CA6"/>
    <w:rsid w:val="00B124F5"/>
    <w:rsid w:val="00B145C0"/>
    <w:rsid w:val="00B17438"/>
    <w:rsid w:val="00B3047D"/>
    <w:rsid w:val="00B30C03"/>
    <w:rsid w:val="00B31994"/>
    <w:rsid w:val="00B41C19"/>
    <w:rsid w:val="00B44FC3"/>
    <w:rsid w:val="00B50E65"/>
    <w:rsid w:val="00B601D5"/>
    <w:rsid w:val="00B63FF5"/>
    <w:rsid w:val="00B64838"/>
    <w:rsid w:val="00B67AF9"/>
    <w:rsid w:val="00B73653"/>
    <w:rsid w:val="00B908A4"/>
    <w:rsid w:val="00B912C6"/>
    <w:rsid w:val="00B92794"/>
    <w:rsid w:val="00B936AF"/>
    <w:rsid w:val="00B93AEA"/>
    <w:rsid w:val="00B9403F"/>
    <w:rsid w:val="00B97B69"/>
    <w:rsid w:val="00BA3C62"/>
    <w:rsid w:val="00BA4E15"/>
    <w:rsid w:val="00BB028C"/>
    <w:rsid w:val="00BB56DE"/>
    <w:rsid w:val="00BB6D37"/>
    <w:rsid w:val="00BC1268"/>
    <w:rsid w:val="00BD3335"/>
    <w:rsid w:val="00BD5816"/>
    <w:rsid w:val="00BD607C"/>
    <w:rsid w:val="00BD77D8"/>
    <w:rsid w:val="00BF0BA0"/>
    <w:rsid w:val="00C04D6E"/>
    <w:rsid w:val="00C05D72"/>
    <w:rsid w:val="00C13082"/>
    <w:rsid w:val="00C14D2D"/>
    <w:rsid w:val="00C15843"/>
    <w:rsid w:val="00C20605"/>
    <w:rsid w:val="00C212C2"/>
    <w:rsid w:val="00C267A5"/>
    <w:rsid w:val="00C31452"/>
    <w:rsid w:val="00C34689"/>
    <w:rsid w:val="00C41EDF"/>
    <w:rsid w:val="00C518F0"/>
    <w:rsid w:val="00C5267D"/>
    <w:rsid w:val="00C6183F"/>
    <w:rsid w:val="00C71916"/>
    <w:rsid w:val="00C76973"/>
    <w:rsid w:val="00C8060B"/>
    <w:rsid w:val="00C864FC"/>
    <w:rsid w:val="00C913CE"/>
    <w:rsid w:val="00C93BEF"/>
    <w:rsid w:val="00CA742E"/>
    <w:rsid w:val="00CB2E01"/>
    <w:rsid w:val="00CB3440"/>
    <w:rsid w:val="00CD371C"/>
    <w:rsid w:val="00CD3723"/>
    <w:rsid w:val="00CD7E0C"/>
    <w:rsid w:val="00CE0FCA"/>
    <w:rsid w:val="00CE2DB4"/>
    <w:rsid w:val="00CF08B6"/>
    <w:rsid w:val="00CF40A1"/>
    <w:rsid w:val="00D10EC7"/>
    <w:rsid w:val="00D14D07"/>
    <w:rsid w:val="00D20FBB"/>
    <w:rsid w:val="00D265B9"/>
    <w:rsid w:val="00D328B1"/>
    <w:rsid w:val="00D33933"/>
    <w:rsid w:val="00D33CA0"/>
    <w:rsid w:val="00D4446E"/>
    <w:rsid w:val="00D463C4"/>
    <w:rsid w:val="00D4666F"/>
    <w:rsid w:val="00D5281B"/>
    <w:rsid w:val="00D63CA4"/>
    <w:rsid w:val="00D64110"/>
    <w:rsid w:val="00D64BE9"/>
    <w:rsid w:val="00D70AEA"/>
    <w:rsid w:val="00D728BD"/>
    <w:rsid w:val="00D73C0E"/>
    <w:rsid w:val="00D749CB"/>
    <w:rsid w:val="00D84B38"/>
    <w:rsid w:val="00D87834"/>
    <w:rsid w:val="00D92871"/>
    <w:rsid w:val="00D92A77"/>
    <w:rsid w:val="00D947D8"/>
    <w:rsid w:val="00D957A8"/>
    <w:rsid w:val="00D96DE6"/>
    <w:rsid w:val="00D9778F"/>
    <w:rsid w:val="00DA7F1E"/>
    <w:rsid w:val="00DD56C2"/>
    <w:rsid w:val="00DE1F54"/>
    <w:rsid w:val="00DF35F4"/>
    <w:rsid w:val="00DF662B"/>
    <w:rsid w:val="00E00780"/>
    <w:rsid w:val="00E068F1"/>
    <w:rsid w:val="00E13875"/>
    <w:rsid w:val="00E155F5"/>
    <w:rsid w:val="00E37D62"/>
    <w:rsid w:val="00E50F7B"/>
    <w:rsid w:val="00E56799"/>
    <w:rsid w:val="00E6494A"/>
    <w:rsid w:val="00E85991"/>
    <w:rsid w:val="00E94724"/>
    <w:rsid w:val="00E97CE7"/>
    <w:rsid w:val="00E97E02"/>
    <w:rsid w:val="00EA5A6E"/>
    <w:rsid w:val="00EC50D4"/>
    <w:rsid w:val="00EC5462"/>
    <w:rsid w:val="00ED2C9E"/>
    <w:rsid w:val="00EF1FCA"/>
    <w:rsid w:val="00EF5762"/>
    <w:rsid w:val="00EF6FC7"/>
    <w:rsid w:val="00F101F4"/>
    <w:rsid w:val="00F10B09"/>
    <w:rsid w:val="00F115FB"/>
    <w:rsid w:val="00F264D9"/>
    <w:rsid w:val="00F33B6B"/>
    <w:rsid w:val="00F418B2"/>
    <w:rsid w:val="00F51F3C"/>
    <w:rsid w:val="00F53D9C"/>
    <w:rsid w:val="00F5592F"/>
    <w:rsid w:val="00F6409E"/>
    <w:rsid w:val="00F67332"/>
    <w:rsid w:val="00F77283"/>
    <w:rsid w:val="00F80338"/>
    <w:rsid w:val="00F84F93"/>
    <w:rsid w:val="00FB7A38"/>
    <w:rsid w:val="00FD1B14"/>
    <w:rsid w:val="00FE65F9"/>
    <w:rsid w:val="00FF49E8"/>
    <w:rsid w:val="00FF5F83"/>
    <w:rsid w:val="01282E62"/>
    <w:rsid w:val="0367315B"/>
    <w:rsid w:val="061139E5"/>
    <w:rsid w:val="065E2E82"/>
    <w:rsid w:val="06F50B00"/>
    <w:rsid w:val="076E1278"/>
    <w:rsid w:val="077C0C82"/>
    <w:rsid w:val="086C7AD9"/>
    <w:rsid w:val="08D1141D"/>
    <w:rsid w:val="097A6647"/>
    <w:rsid w:val="09C0632E"/>
    <w:rsid w:val="0B296DE2"/>
    <w:rsid w:val="10294AA3"/>
    <w:rsid w:val="10E40CA0"/>
    <w:rsid w:val="12CC5D44"/>
    <w:rsid w:val="136130D9"/>
    <w:rsid w:val="14922675"/>
    <w:rsid w:val="155802FA"/>
    <w:rsid w:val="18DD4F7E"/>
    <w:rsid w:val="195B58A2"/>
    <w:rsid w:val="1E085A14"/>
    <w:rsid w:val="1FF43DDB"/>
    <w:rsid w:val="21933AA2"/>
    <w:rsid w:val="21AC7095"/>
    <w:rsid w:val="25BF356F"/>
    <w:rsid w:val="25DB0C2D"/>
    <w:rsid w:val="266D2F42"/>
    <w:rsid w:val="269469E7"/>
    <w:rsid w:val="29FC3B14"/>
    <w:rsid w:val="2B11792E"/>
    <w:rsid w:val="31C54755"/>
    <w:rsid w:val="3216608C"/>
    <w:rsid w:val="34CE14C6"/>
    <w:rsid w:val="34D84CEC"/>
    <w:rsid w:val="37AF5AB7"/>
    <w:rsid w:val="3B1C3371"/>
    <w:rsid w:val="3CC23198"/>
    <w:rsid w:val="3DB321A6"/>
    <w:rsid w:val="3DDF4815"/>
    <w:rsid w:val="3FE669E5"/>
    <w:rsid w:val="45343151"/>
    <w:rsid w:val="47E250E6"/>
    <w:rsid w:val="50E52C68"/>
    <w:rsid w:val="50F63E28"/>
    <w:rsid w:val="5166513E"/>
    <w:rsid w:val="51A14558"/>
    <w:rsid w:val="5221007F"/>
    <w:rsid w:val="52926B5A"/>
    <w:rsid w:val="545804DE"/>
    <w:rsid w:val="545C5E51"/>
    <w:rsid w:val="5486175B"/>
    <w:rsid w:val="57667D24"/>
    <w:rsid w:val="57CE5BC3"/>
    <w:rsid w:val="599B05AA"/>
    <w:rsid w:val="5A6000EC"/>
    <w:rsid w:val="5AE1516A"/>
    <w:rsid w:val="5B6A3A79"/>
    <w:rsid w:val="5C1A5F7B"/>
    <w:rsid w:val="5EDD68C7"/>
    <w:rsid w:val="63FA6EBC"/>
    <w:rsid w:val="645771F8"/>
    <w:rsid w:val="64CA37D0"/>
    <w:rsid w:val="66682803"/>
    <w:rsid w:val="69FF5CC1"/>
    <w:rsid w:val="6A54112D"/>
    <w:rsid w:val="6AA035AE"/>
    <w:rsid w:val="6B107ADC"/>
    <w:rsid w:val="6E0F2E14"/>
    <w:rsid w:val="6E534E63"/>
    <w:rsid w:val="6F1E141D"/>
    <w:rsid w:val="6F5354F8"/>
    <w:rsid w:val="740A2BDE"/>
    <w:rsid w:val="751839E0"/>
    <w:rsid w:val="76274F93"/>
    <w:rsid w:val="78B611AB"/>
    <w:rsid w:val="78EA5489"/>
    <w:rsid w:val="790F63A8"/>
    <w:rsid w:val="79EB3F2F"/>
    <w:rsid w:val="7B11789E"/>
    <w:rsid w:val="7C7B2E38"/>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qFormat="1" w:unhideWhenUsed="0" w:uiPriority="0" w:semiHidden="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qFormat="1" w:unhideWhenUsed="0" w:uiPriority="0" w:semiHidden="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link w:val="55"/>
    <w:qFormat/>
    <w:uiPriority w:val="0"/>
    <w:pPr>
      <w:ind w:left="538"/>
      <w:outlineLvl w:val="0"/>
    </w:pPr>
    <w:rPr>
      <w:b/>
      <w:bCs/>
      <w:sz w:val="28"/>
      <w:szCs w:val="28"/>
    </w:rPr>
  </w:style>
  <w:style w:type="paragraph" w:styleId="3">
    <w:name w:val="heading 2"/>
    <w:basedOn w:val="1"/>
    <w:next w:val="1"/>
    <w:link w:val="56"/>
    <w:qFormat/>
    <w:uiPriority w:val="0"/>
    <w:pPr>
      <w:ind w:left="629"/>
      <w:outlineLvl w:val="1"/>
    </w:pPr>
    <w:rPr>
      <w:b/>
      <w:bCs/>
      <w:sz w:val="24"/>
      <w:szCs w:val="24"/>
    </w:rPr>
  </w:style>
  <w:style w:type="paragraph" w:styleId="4">
    <w:name w:val="heading 3"/>
    <w:basedOn w:val="1"/>
    <w:next w:val="1"/>
    <w:link w:val="57"/>
    <w:qFormat/>
    <w:uiPriority w:val="0"/>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5">
    <w:name w:val="heading 4"/>
    <w:basedOn w:val="1"/>
    <w:next w:val="1"/>
    <w:link w:val="58"/>
    <w:qFormat/>
    <w:uiPriority w:val="0"/>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6">
    <w:name w:val="heading 5"/>
    <w:basedOn w:val="1"/>
    <w:next w:val="1"/>
    <w:link w:val="59"/>
    <w:qFormat/>
    <w:uiPriority w:val="0"/>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7">
    <w:name w:val="heading 6"/>
    <w:basedOn w:val="1"/>
    <w:next w:val="1"/>
    <w:link w:val="60"/>
    <w:qFormat/>
    <w:uiPriority w:val="0"/>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8">
    <w:name w:val="heading 7"/>
    <w:basedOn w:val="1"/>
    <w:next w:val="9"/>
    <w:link w:val="62"/>
    <w:qFormat/>
    <w:uiPriority w:val="0"/>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10">
    <w:name w:val="heading 8"/>
    <w:basedOn w:val="1"/>
    <w:next w:val="9"/>
    <w:link w:val="63"/>
    <w:qFormat/>
    <w:uiPriority w:val="0"/>
    <w:pPr>
      <w:keepNext/>
      <w:keepLines/>
      <w:autoSpaceDE/>
      <w:autoSpaceDN/>
      <w:spacing w:before="240" w:after="64" w:line="320" w:lineRule="atLeast"/>
      <w:jc w:val="both"/>
      <w:outlineLvl w:val="7"/>
    </w:pPr>
    <w:rPr>
      <w:rFonts w:ascii="Arial" w:hAnsi="Arial" w:eastAsia="黑体" w:cs="Times New Roman"/>
      <w:kern w:val="2"/>
      <w:sz w:val="24"/>
      <w:szCs w:val="20"/>
      <w:lang w:eastAsia="zh-CN"/>
    </w:rPr>
  </w:style>
  <w:style w:type="paragraph" w:styleId="11">
    <w:name w:val="heading 9"/>
    <w:basedOn w:val="1"/>
    <w:next w:val="9"/>
    <w:link w:val="64"/>
    <w:qFormat/>
    <w:uiPriority w:val="0"/>
    <w:pPr>
      <w:keepNext/>
      <w:keepLines/>
      <w:autoSpaceDE/>
      <w:autoSpaceDN/>
      <w:spacing w:before="240" w:after="64" w:line="320" w:lineRule="atLeast"/>
      <w:jc w:val="both"/>
      <w:outlineLvl w:val="8"/>
    </w:pPr>
    <w:rPr>
      <w:rFonts w:ascii="Arial" w:hAnsi="Arial" w:eastAsia="黑体" w:cs="Times New Roman"/>
      <w:kern w:val="2"/>
      <w:sz w:val="21"/>
      <w:szCs w:val="20"/>
      <w:lang w:eastAsia="zh-CN"/>
    </w:rPr>
  </w:style>
  <w:style w:type="character" w:default="1" w:styleId="48">
    <w:name w:val="Default Paragraph Font"/>
    <w:semiHidden/>
    <w:unhideWhenUsed/>
    <w:qFormat/>
    <w:uiPriority w:val="1"/>
  </w:style>
  <w:style w:type="table" w:default="1" w:styleId="46">
    <w:name w:val="Normal Table"/>
    <w:semiHidden/>
    <w:unhideWhenUsed/>
    <w:qFormat/>
    <w:uiPriority w:val="99"/>
    <w:tblPr>
      <w:tblCellMar>
        <w:top w:w="0" w:type="dxa"/>
        <w:left w:w="108" w:type="dxa"/>
        <w:bottom w:w="0" w:type="dxa"/>
        <w:right w:w="108" w:type="dxa"/>
      </w:tblCellMar>
    </w:tblPr>
  </w:style>
  <w:style w:type="paragraph" w:styleId="9">
    <w:name w:val="Normal Indent"/>
    <w:basedOn w:val="1"/>
    <w:link w:val="61"/>
    <w:qFormat/>
    <w:uiPriority w:val="0"/>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12">
    <w:name w:val="toc 7"/>
    <w:basedOn w:val="1"/>
    <w:next w:val="1"/>
    <w:qFormat/>
    <w:uiPriority w:val="0"/>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13">
    <w:name w:val="caption"/>
    <w:basedOn w:val="1"/>
    <w:next w:val="1"/>
    <w:qFormat/>
    <w:uiPriority w:val="0"/>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14">
    <w:name w:val="List Bullet"/>
    <w:basedOn w:val="1"/>
    <w:qFormat/>
    <w:uiPriority w:val="0"/>
    <w:pPr>
      <w:numPr>
        <w:ilvl w:val="0"/>
        <w:numId w:val="1"/>
      </w:numPr>
      <w:tabs>
        <w:tab w:val="left" w:pos="1382"/>
      </w:tabs>
      <w:autoSpaceDE/>
      <w:autoSpaceDN/>
      <w:spacing w:line="480" w:lineRule="exact"/>
      <w:jc w:val="both"/>
    </w:pPr>
    <w:rPr>
      <w:rFonts w:ascii="Times New Roman" w:hAnsi="Times New Roman" w:cs="Times New Roman"/>
      <w:kern w:val="2"/>
      <w:sz w:val="24"/>
      <w:szCs w:val="20"/>
      <w:lang w:eastAsia="zh-CN"/>
    </w:rPr>
  </w:style>
  <w:style w:type="paragraph" w:styleId="15">
    <w:name w:val="Document Map"/>
    <w:basedOn w:val="1"/>
    <w:link w:val="94"/>
    <w:qFormat/>
    <w:uiPriority w:val="0"/>
    <w:pPr>
      <w:shd w:val="clear" w:color="auto" w:fill="000080"/>
      <w:autoSpaceDE/>
      <w:autoSpaceDN/>
      <w:adjustRightInd w:val="0"/>
      <w:ind w:firstLine="425"/>
      <w:jc w:val="both"/>
      <w:textAlignment w:val="baseline"/>
    </w:pPr>
    <w:rPr>
      <w:rFonts w:hAnsi="Times New Roman" w:cs="Times New Roman"/>
      <w:sz w:val="28"/>
      <w:szCs w:val="20"/>
      <w:lang w:eastAsia="zh-CN"/>
    </w:rPr>
  </w:style>
  <w:style w:type="paragraph" w:styleId="16">
    <w:name w:val="annotation text"/>
    <w:basedOn w:val="1"/>
    <w:link w:val="81"/>
    <w:qFormat/>
    <w:uiPriority w:val="0"/>
    <w:pPr>
      <w:autoSpaceDE/>
      <w:autoSpaceDN/>
    </w:pPr>
    <w:rPr>
      <w:rFonts w:ascii="Times New Roman" w:hAnsi="Times New Roman" w:cs="Times New Roman"/>
      <w:kern w:val="2"/>
      <w:sz w:val="21"/>
      <w:szCs w:val="20"/>
      <w:lang w:eastAsia="zh-CN"/>
    </w:rPr>
  </w:style>
  <w:style w:type="paragraph" w:styleId="17">
    <w:name w:val="Body Text 3"/>
    <w:basedOn w:val="1"/>
    <w:link w:val="90"/>
    <w:qFormat/>
    <w:uiPriority w:val="0"/>
    <w:pPr>
      <w:autoSpaceDE/>
      <w:autoSpaceDN/>
      <w:spacing w:line="360" w:lineRule="auto"/>
      <w:jc w:val="both"/>
    </w:pPr>
    <w:rPr>
      <w:rFonts w:ascii="Times New Roman" w:hAnsi="Times New Roman" w:cs="Times New Roman"/>
      <w:color w:val="0000FF"/>
      <w:kern w:val="2"/>
      <w:sz w:val="24"/>
      <w:szCs w:val="24"/>
      <w:lang w:eastAsia="zh-CN"/>
    </w:rPr>
  </w:style>
  <w:style w:type="paragraph" w:styleId="18">
    <w:name w:val="Closing"/>
    <w:basedOn w:val="1"/>
    <w:link w:val="75"/>
    <w:qFormat/>
    <w:uiPriority w:val="0"/>
    <w:pPr>
      <w:autoSpaceDE/>
      <w:autoSpaceDN/>
      <w:ind w:left="100" w:leftChars="2100"/>
      <w:jc w:val="both"/>
    </w:pPr>
    <w:rPr>
      <w:rFonts w:ascii="Times New Roman" w:hAnsi="Times New Roman" w:cs="Times New Roman"/>
      <w:b/>
      <w:kern w:val="2"/>
      <w:sz w:val="21"/>
      <w:szCs w:val="20"/>
      <w:lang w:eastAsia="zh-CN"/>
    </w:rPr>
  </w:style>
  <w:style w:type="paragraph" w:styleId="19">
    <w:name w:val="Body Text"/>
    <w:basedOn w:val="1"/>
    <w:link w:val="65"/>
    <w:qFormat/>
    <w:uiPriority w:val="0"/>
    <w:rPr>
      <w:sz w:val="24"/>
      <w:szCs w:val="24"/>
    </w:rPr>
  </w:style>
  <w:style w:type="paragraph" w:styleId="20">
    <w:name w:val="Body Text Indent"/>
    <w:basedOn w:val="1"/>
    <w:link w:val="89"/>
    <w:qFormat/>
    <w:uiPriority w:val="0"/>
    <w:pPr>
      <w:autoSpaceDE/>
      <w:autoSpaceDN/>
      <w:ind w:left="540" w:leftChars="257"/>
      <w:jc w:val="both"/>
    </w:pPr>
    <w:rPr>
      <w:rFonts w:ascii="Times New Roman" w:hAnsi="Times New Roman" w:cs="Times New Roman"/>
      <w:i/>
      <w:iCs/>
      <w:kern w:val="2"/>
      <w:sz w:val="21"/>
      <w:szCs w:val="20"/>
      <w:lang w:eastAsia="zh-CN"/>
    </w:rPr>
  </w:style>
  <w:style w:type="paragraph" w:styleId="21">
    <w:name w:val="List 2"/>
    <w:basedOn w:val="1"/>
    <w:qFormat/>
    <w:uiPriority w:val="0"/>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22">
    <w:name w:val="toc 5"/>
    <w:basedOn w:val="1"/>
    <w:next w:val="1"/>
    <w:qFormat/>
    <w:uiPriority w:val="0"/>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23">
    <w:name w:val="toc 3"/>
    <w:basedOn w:val="1"/>
    <w:next w:val="1"/>
    <w:qFormat/>
    <w:uiPriority w:val="0"/>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24">
    <w:name w:val="Plain Text"/>
    <w:basedOn w:val="1"/>
    <w:link w:val="66"/>
    <w:qFormat/>
    <w:uiPriority w:val="99"/>
    <w:rPr>
      <w:rFonts w:hAnsi="Courier New" w:cs="Courier New"/>
      <w:szCs w:val="21"/>
    </w:rPr>
  </w:style>
  <w:style w:type="paragraph" w:styleId="25">
    <w:name w:val="toc 8"/>
    <w:basedOn w:val="1"/>
    <w:next w:val="1"/>
    <w:qFormat/>
    <w:uiPriority w:val="0"/>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26">
    <w:name w:val="Date"/>
    <w:basedOn w:val="1"/>
    <w:next w:val="1"/>
    <w:link w:val="95"/>
    <w:qFormat/>
    <w:uiPriority w:val="0"/>
    <w:pPr>
      <w:autoSpaceDE/>
      <w:autoSpaceDN/>
      <w:ind w:left="100" w:leftChars="2500"/>
      <w:jc w:val="both"/>
    </w:pPr>
    <w:rPr>
      <w:rFonts w:ascii="Times New Roman" w:hAnsi="Times New Roman" w:cs="Times New Roman"/>
      <w:kern w:val="2"/>
      <w:sz w:val="21"/>
      <w:szCs w:val="24"/>
      <w:lang w:eastAsia="zh-CN"/>
    </w:rPr>
  </w:style>
  <w:style w:type="paragraph" w:styleId="27">
    <w:name w:val="Body Text Indent 2"/>
    <w:basedOn w:val="1"/>
    <w:link w:val="84"/>
    <w:qFormat/>
    <w:uiPriority w:val="0"/>
    <w:pPr>
      <w:autoSpaceDE/>
      <w:autoSpaceDN/>
      <w:snapToGrid w:val="0"/>
      <w:spacing w:line="360" w:lineRule="auto"/>
      <w:ind w:firstLine="567"/>
      <w:jc w:val="both"/>
    </w:pPr>
    <w:rPr>
      <w:rFonts w:cs="Times New Roman"/>
      <w:iCs/>
      <w:kern w:val="2"/>
      <w:sz w:val="24"/>
      <w:szCs w:val="24"/>
      <w:lang w:eastAsia="zh-CN"/>
    </w:rPr>
  </w:style>
  <w:style w:type="paragraph" w:styleId="28">
    <w:name w:val="Balloon Text"/>
    <w:basedOn w:val="1"/>
    <w:link w:val="82"/>
    <w:qFormat/>
    <w:uiPriority w:val="0"/>
    <w:pPr>
      <w:autoSpaceDE/>
      <w:autoSpaceDN/>
      <w:jc w:val="both"/>
    </w:pPr>
    <w:rPr>
      <w:rFonts w:ascii="Times New Roman" w:hAnsi="Times New Roman" w:cs="Times New Roman"/>
      <w:kern w:val="2"/>
      <w:sz w:val="18"/>
      <w:szCs w:val="18"/>
      <w:lang w:eastAsia="zh-CN"/>
    </w:rPr>
  </w:style>
  <w:style w:type="paragraph" w:styleId="29">
    <w:name w:val="footer"/>
    <w:basedOn w:val="1"/>
    <w:link w:val="67"/>
    <w:qFormat/>
    <w:uiPriority w:val="0"/>
    <w:pPr>
      <w:tabs>
        <w:tab w:val="center" w:pos="4153"/>
        <w:tab w:val="right" w:pos="8306"/>
      </w:tabs>
      <w:snapToGrid w:val="0"/>
    </w:pPr>
    <w:rPr>
      <w:sz w:val="18"/>
      <w:szCs w:val="18"/>
    </w:rPr>
  </w:style>
  <w:style w:type="paragraph" w:styleId="30">
    <w:name w:val="header"/>
    <w:basedOn w:val="1"/>
    <w:link w:val="6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31">
    <w:name w:val="toc 1"/>
    <w:basedOn w:val="1"/>
    <w:next w:val="1"/>
    <w:qFormat/>
    <w:uiPriority w:val="0"/>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32">
    <w:name w:val="toc 4"/>
    <w:basedOn w:val="1"/>
    <w:next w:val="1"/>
    <w:qFormat/>
    <w:uiPriority w:val="0"/>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33">
    <w:name w:val="toc 6"/>
    <w:basedOn w:val="1"/>
    <w:next w:val="1"/>
    <w:qFormat/>
    <w:uiPriority w:val="0"/>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4">
    <w:name w:val="Body Text Indent 3"/>
    <w:basedOn w:val="1"/>
    <w:link w:val="83"/>
    <w:qFormat/>
    <w:uiPriority w:val="0"/>
    <w:pPr>
      <w:autoSpaceDE/>
      <w:autoSpaceDN/>
      <w:ind w:firstLine="560"/>
      <w:jc w:val="both"/>
    </w:pPr>
    <w:rPr>
      <w:rFonts w:ascii="Times New Roman" w:hAnsi="Times New Roman" w:cs="Times New Roman"/>
      <w:kern w:val="2"/>
      <w:sz w:val="28"/>
      <w:szCs w:val="20"/>
      <w:lang w:eastAsia="zh-CN"/>
    </w:rPr>
  </w:style>
  <w:style w:type="paragraph" w:styleId="35">
    <w:name w:val="toc 2"/>
    <w:basedOn w:val="1"/>
    <w:next w:val="1"/>
    <w:qFormat/>
    <w:uiPriority w:val="0"/>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36">
    <w:name w:val="toc 9"/>
    <w:basedOn w:val="1"/>
    <w:next w:val="1"/>
    <w:qFormat/>
    <w:uiPriority w:val="0"/>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37">
    <w:name w:val="Body Text 2"/>
    <w:basedOn w:val="1"/>
    <w:link w:val="96"/>
    <w:qFormat/>
    <w:uiPriority w:val="0"/>
    <w:pPr>
      <w:autoSpaceDE/>
      <w:autoSpaceDN/>
      <w:spacing w:after="120" w:line="480" w:lineRule="auto"/>
      <w:jc w:val="both"/>
    </w:pPr>
    <w:rPr>
      <w:rFonts w:ascii="Times New Roman" w:hAnsi="Times New Roman" w:cs="Times New Roman"/>
      <w:kern w:val="2"/>
      <w:sz w:val="21"/>
      <w:szCs w:val="24"/>
      <w:lang w:eastAsia="zh-CN"/>
    </w:rPr>
  </w:style>
  <w:style w:type="paragraph" w:styleId="38">
    <w:name w:val="Message Header"/>
    <w:basedOn w:val="1"/>
    <w:link w:val="102"/>
    <w:qFormat/>
    <w:uiPriority w:val="0"/>
    <w:pPr>
      <w:pBdr>
        <w:top w:val="single" w:color="auto" w:sz="6" w:space="1"/>
        <w:left w:val="single" w:color="auto" w:sz="6" w:space="1"/>
        <w:bottom w:val="single" w:color="auto" w:sz="6" w:space="1"/>
        <w:right w:val="single" w:color="auto" w:sz="6" w:space="1"/>
      </w:pBdr>
      <w:shd w:val="pct20" w:color="auto" w:fill="auto"/>
      <w:autoSpaceDE/>
      <w:autoSpaceDN/>
      <w:ind w:left="1080" w:leftChars="500" w:hanging="1080" w:hangingChars="500"/>
      <w:jc w:val="both"/>
    </w:pPr>
    <w:rPr>
      <w:rFonts w:ascii="Arial" w:hAnsi="Arial" w:cs="Arial"/>
      <w:kern w:val="2"/>
      <w:sz w:val="24"/>
      <w:szCs w:val="24"/>
      <w:lang w:eastAsia="zh-CN"/>
    </w:rPr>
  </w:style>
  <w:style w:type="paragraph" w:styleId="39">
    <w:name w:val="HTML Preformatted"/>
    <w:basedOn w:val="1"/>
    <w:link w:val="9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hAnsi="Arial Unicode MS" w:eastAsia="Courier New" w:cs="Courier New"/>
      <w:sz w:val="20"/>
      <w:szCs w:val="20"/>
      <w:lang w:eastAsia="zh-CN"/>
    </w:rPr>
  </w:style>
  <w:style w:type="paragraph" w:styleId="40">
    <w:name w:val="Normal (Web)"/>
    <w:basedOn w:val="1"/>
    <w:link w:val="76"/>
    <w:unhideWhenUsed/>
    <w:qFormat/>
    <w:uiPriority w:val="0"/>
    <w:pPr>
      <w:widowControl/>
      <w:autoSpaceDE/>
      <w:autoSpaceDN/>
      <w:spacing w:before="100" w:beforeAutospacing="1" w:after="100" w:afterAutospacing="1"/>
    </w:pPr>
    <w:rPr>
      <w:sz w:val="24"/>
      <w:szCs w:val="24"/>
      <w:lang w:eastAsia="zh-CN"/>
    </w:rPr>
  </w:style>
  <w:style w:type="paragraph" w:styleId="41">
    <w:name w:val="index 1"/>
    <w:basedOn w:val="1"/>
    <w:next w:val="1"/>
    <w:qFormat/>
    <w:uiPriority w:val="0"/>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42">
    <w:name w:val="Title"/>
    <w:basedOn w:val="1"/>
    <w:link w:val="88"/>
    <w:qFormat/>
    <w:uiPriority w:val="0"/>
    <w:pPr>
      <w:autoSpaceDE/>
      <w:autoSpaceDN/>
      <w:adjustRightInd w:val="0"/>
      <w:spacing w:before="240" w:after="60" w:line="360" w:lineRule="atLeast"/>
      <w:jc w:val="center"/>
      <w:textAlignment w:val="baseline"/>
      <w:outlineLvl w:val="0"/>
    </w:pPr>
    <w:rPr>
      <w:rFonts w:ascii="Arial" w:hAnsi="Arial" w:cs="Arial"/>
      <w:b/>
      <w:bCs/>
      <w:sz w:val="44"/>
      <w:szCs w:val="32"/>
      <w:lang w:eastAsia="zh-CN"/>
    </w:rPr>
  </w:style>
  <w:style w:type="paragraph" w:styleId="43">
    <w:name w:val="annotation subject"/>
    <w:basedOn w:val="16"/>
    <w:next w:val="16"/>
    <w:link w:val="98"/>
    <w:qFormat/>
    <w:uiPriority w:val="0"/>
    <w:pPr>
      <w:widowControl/>
    </w:pPr>
    <w:rPr>
      <w:b/>
      <w:bCs/>
      <w:sz w:val="24"/>
      <w:szCs w:val="24"/>
    </w:rPr>
  </w:style>
  <w:style w:type="paragraph" w:styleId="44">
    <w:name w:val="Body Text First Indent"/>
    <w:basedOn w:val="19"/>
    <w:link w:val="97"/>
    <w:qFormat/>
    <w:uiPriority w:val="0"/>
    <w:pPr>
      <w:numPr>
        <w:ilvl w:val="0"/>
        <w:numId w:val="2"/>
      </w:numPr>
      <w:tabs>
        <w:tab w:val="left" w:pos="720"/>
      </w:tabs>
      <w:autoSpaceDE/>
      <w:autoSpaceDN/>
      <w:adjustRightInd w:val="0"/>
      <w:spacing w:after="120" w:line="312" w:lineRule="atLeast"/>
      <w:ind w:firstLine="420"/>
      <w:jc w:val="both"/>
      <w:textAlignment w:val="baseline"/>
    </w:pPr>
    <w:rPr>
      <w:rFonts w:ascii="Times New Roman" w:hAnsi="Times New Roman" w:cs="Times New Roman"/>
      <w:sz w:val="21"/>
      <w:szCs w:val="21"/>
      <w:lang w:eastAsia="zh-CN"/>
    </w:rPr>
  </w:style>
  <w:style w:type="paragraph" w:styleId="45">
    <w:name w:val="Body Text First Indent 2"/>
    <w:basedOn w:val="20"/>
    <w:link w:val="203"/>
    <w:unhideWhenUsed/>
    <w:qFormat/>
    <w:uiPriority w:val="0"/>
    <w:pPr>
      <w:autoSpaceDE w:val="0"/>
      <w:autoSpaceDN w:val="0"/>
      <w:spacing w:after="120"/>
      <w:ind w:left="420" w:leftChars="200" w:firstLine="420" w:firstLineChars="200"/>
      <w:jc w:val="left"/>
    </w:pPr>
    <w:rPr>
      <w:rFonts w:ascii="宋体" w:hAnsi="宋体" w:cs="宋体"/>
      <w:i w:val="0"/>
      <w:iCs w:val="0"/>
      <w:kern w:val="0"/>
      <w:sz w:val="22"/>
      <w:szCs w:val="22"/>
      <w:lang w:eastAsia="en-US"/>
    </w:rPr>
  </w:style>
  <w:style w:type="table" w:styleId="47">
    <w:name w:val="Table Grid"/>
    <w:basedOn w:val="4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9">
    <w:name w:val="Strong"/>
    <w:basedOn w:val="48"/>
    <w:qFormat/>
    <w:uiPriority w:val="22"/>
    <w:rPr>
      <w:b/>
      <w:bCs/>
    </w:rPr>
  </w:style>
  <w:style w:type="character" w:styleId="50">
    <w:name w:val="page number"/>
    <w:basedOn w:val="48"/>
    <w:qFormat/>
    <w:uiPriority w:val="0"/>
  </w:style>
  <w:style w:type="character" w:styleId="51">
    <w:name w:val="FollowedHyperlink"/>
    <w:basedOn w:val="48"/>
    <w:qFormat/>
    <w:uiPriority w:val="0"/>
    <w:rPr>
      <w:color w:val="800080"/>
      <w:u w:val="single"/>
    </w:rPr>
  </w:style>
  <w:style w:type="character" w:styleId="52">
    <w:name w:val="Hyperlink"/>
    <w:basedOn w:val="48"/>
    <w:qFormat/>
    <w:uiPriority w:val="0"/>
    <w:rPr>
      <w:color w:val="0000FF" w:themeColor="hyperlink"/>
      <w:u w:val="single"/>
      <w14:textFill>
        <w14:solidFill>
          <w14:schemeClr w14:val="hlink"/>
        </w14:solidFill>
      </w14:textFill>
    </w:rPr>
  </w:style>
  <w:style w:type="character" w:styleId="53">
    <w:name w:val="annotation reference"/>
    <w:basedOn w:val="48"/>
    <w:qFormat/>
    <w:uiPriority w:val="0"/>
    <w:rPr>
      <w:sz w:val="21"/>
      <w:szCs w:val="21"/>
    </w:rPr>
  </w:style>
  <w:style w:type="paragraph" w:customStyle="1" w:styleId="54">
    <w:name w:val="正文1"/>
    <w:link w:val="20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character" w:customStyle="1" w:styleId="55">
    <w:name w:val="标题 1 Char"/>
    <w:basedOn w:val="48"/>
    <w:link w:val="2"/>
    <w:qFormat/>
    <w:uiPriority w:val="0"/>
    <w:rPr>
      <w:rFonts w:ascii="宋体" w:hAnsi="宋体" w:cs="宋体"/>
      <w:b/>
      <w:bCs/>
      <w:sz w:val="28"/>
      <w:szCs w:val="28"/>
      <w:lang w:eastAsia="en-US"/>
    </w:rPr>
  </w:style>
  <w:style w:type="character" w:customStyle="1" w:styleId="56">
    <w:name w:val="标题 2 Char"/>
    <w:basedOn w:val="48"/>
    <w:link w:val="3"/>
    <w:qFormat/>
    <w:uiPriority w:val="0"/>
    <w:rPr>
      <w:rFonts w:ascii="宋体" w:hAnsi="宋体" w:cs="宋体"/>
      <w:b/>
      <w:bCs/>
      <w:sz w:val="24"/>
      <w:szCs w:val="24"/>
      <w:lang w:eastAsia="en-US"/>
    </w:rPr>
  </w:style>
  <w:style w:type="character" w:customStyle="1" w:styleId="57">
    <w:name w:val="标题 3 Char"/>
    <w:basedOn w:val="48"/>
    <w:link w:val="4"/>
    <w:qFormat/>
    <w:uiPriority w:val="0"/>
    <w:rPr>
      <w:b/>
      <w:bCs/>
      <w:kern w:val="2"/>
      <w:sz w:val="32"/>
      <w:szCs w:val="32"/>
    </w:rPr>
  </w:style>
  <w:style w:type="character" w:customStyle="1" w:styleId="58">
    <w:name w:val="标题 4 Char"/>
    <w:basedOn w:val="48"/>
    <w:link w:val="5"/>
    <w:qFormat/>
    <w:uiPriority w:val="0"/>
    <w:rPr>
      <w:b/>
      <w:kern w:val="2"/>
      <w:sz w:val="24"/>
      <w:szCs w:val="24"/>
    </w:rPr>
  </w:style>
  <w:style w:type="character" w:customStyle="1" w:styleId="59">
    <w:name w:val="标题 5 Char"/>
    <w:basedOn w:val="48"/>
    <w:link w:val="6"/>
    <w:qFormat/>
    <w:uiPriority w:val="0"/>
    <w:rPr>
      <w:b/>
      <w:bCs/>
      <w:kern w:val="2"/>
      <w:sz w:val="28"/>
      <w:szCs w:val="28"/>
    </w:rPr>
  </w:style>
  <w:style w:type="character" w:customStyle="1" w:styleId="60">
    <w:name w:val="标题 6 Char"/>
    <w:basedOn w:val="48"/>
    <w:link w:val="7"/>
    <w:qFormat/>
    <w:uiPriority w:val="0"/>
    <w:rPr>
      <w:b/>
      <w:sz w:val="24"/>
    </w:rPr>
  </w:style>
  <w:style w:type="character" w:customStyle="1" w:styleId="61">
    <w:name w:val="正文缩进 Char"/>
    <w:basedOn w:val="48"/>
    <w:link w:val="9"/>
    <w:qFormat/>
    <w:uiPriority w:val="0"/>
    <w:rPr>
      <w:sz w:val="24"/>
    </w:rPr>
  </w:style>
  <w:style w:type="character" w:customStyle="1" w:styleId="62">
    <w:name w:val="标题 7 Char"/>
    <w:basedOn w:val="48"/>
    <w:link w:val="8"/>
    <w:qFormat/>
    <w:uiPriority w:val="0"/>
    <w:rPr>
      <w:b/>
      <w:kern w:val="2"/>
      <w:sz w:val="24"/>
    </w:rPr>
  </w:style>
  <w:style w:type="character" w:customStyle="1" w:styleId="63">
    <w:name w:val="标题 8 Char"/>
    <w:basedOn w:val="48"/>
    <w:link w:val="10"/>
    <w:qFormat/>
    <w:uiPriority w:val="0"/>
    <w:rPr>
      <w:rFonts w:ascii="Arial" w:hAnsi="Arial" w:eastAsia="黑体"/>
      <w:kern w:val="2"/>
      <w:sz w:val="24"/>
    </w:rPr>
  </w:style>
  <w:style w:type="character" w:customStyle="1" w:styleId="64">
    <w:name w:val="标题 9 Char"/>
    <w:basedOn w:val="48"/>
    <w:link w:val="11"/>
    <w:qFormat/>
    <w:uiPriority w:val="0"/>
    <w:rPr>
      <w:rFonts w:ascii="Arial" w:hAnsi="Arial" w:eastAsia="黑体"/>
      <w:kern w:val="2"/>
      <w:sz w:val="21"/>
    </w:rPr>
  </w:style>
  <w:style w:type="character" w:customStyle="1" w:styleId="65">
    <w:name w:val="正文文本 Char1"/>
    <w:basedOn w:val="48"/>
    <w:link w:val="19"/>
    <w:qFormat/>
    <w:uiPriority w:val="0"/>
    <w:rPr>
      <w:rFonts w:ascii="宋体" w:hAnsi="宋体" w:cs="宋体"/>
      <w:sz w:val="24"/>
      <w:szCs w:val="24"/>
      <w:lang w:eastAsia="en-US"/>
    </w:rPr>
  </w:style>
  <w:style w:type="character" w:customStyle="1" w:styleId="66">
    <w:name w:val="纯文本 Char"/>
    <w:basedOn w:val="48"/>
    <w:link w:val="24"/>
    <w:qFormat/>
    <w:uiPriority w:val="99"/>
    <w:rPr>
      <w:rFonts w:ascii="宋体" w:hAnsi="Courier New" w:cs="Courier New"/>
      <w:sz w:val="22"/>
      <w:szCs w:val="21"/>
      <w:lang w:eastAsia="en-US"/>
    </w:rPr>
  </w:style>
  <w:style w:type="character" w:customStyle="1" w:styleId="67">
    <w:name w:val="页脚 Char"/>
    <w:basedOn w:val="48"/>
    <w:link w:val="29"/>
    <w:qFormat/>
    <w:uiPriority w:val="0"/>
    <w:rPr>
      <w:rFonts w:ascii="宋体" w:hAnsi="宋体" w:cs="宋体"/>
      <w:sz w:val="18"/>
      <w:szCs w:val="18"/>
      <w:lang w:eastAsia="en-US"/>
    </w:rPr>
  </w:style>
  <w:style w:type="character" w:customStyle="1" w:styleId="68">
    <w:name w:val="页眉 Char"/>
    <w:basedOn w:val="48"/>
    <w:link w:val="30"/>
    <w:qFormat/>
    <w:uiPriority w:val="0"/>
    <w:rPr>
      <w:rFonts w:ascii="宋体" w:hAnsi="宋体" w:cs="宋体"/>
      <w:sz w:val="18"/>
      <w:szCs w:val="22"/>
      <w:lang w:eastAsia="en-US"/>
    </w:rPr>
  </w:style>
  <w:style w:type="table" w:customStyle="1" w:styleId="69">
    <w:name w:val="Table Normal"/>
    <w:semiHidden/>
    <w:unhideWhenUsed/>
    <w:qFormat/>
    <w:uiPriority w:val="2"/>
    <w:tblPr>
      <w:tblCellMar>
        <w:top w:w="0" w:type="dxa"/>
        <w:left w:w="0" w:type="dxa"/>
        <w:bottom w:w="0" w:type="dxa"/>
        <w:right w:w="0" w:type="dxa"/>
      </w:tblCellMar>
    </w:tblPr>
  </w:style>
  <w:style w:type="paragraph" w:styleId="70">
    <w:name w:val="List Paragraph"/>
    <w:basedOn w:val="1"/>
    <w:qFormat/>
    <w:uiPriority w:val="34"/>
    <w:pPr>
      <w:spacing w:before="206"/>
      <w:ind w:left="959" w:hanging="361"/>
    </w:pPr>
  </w:style>
  <w:style w:type="paragraph" w:customStyle="1" w:styleId="71">
    <w:name w:val="Table Paragraph"/>
    <w:basedOn w:val="1"/>
    <w:qFormat/>
    <w:uiPriority w:val="1"/>
  </w:style>
  <w:style w:type="paragraph" w:customStyle="1" w:styleId="72">
    <w:name w:val="文档正文"/>
    <w:basedOn w:val="1"/>
    <w:qFormat/>
    <w:uiPriority w:val="0"/>
    <w:pPr>
      <w:spacing w:beforeLines="50" w:afterLines="50" w:line="360" w:lineRule="auto"/>
      <w:ind w:firstLine="560" w:firstLineChars="200"/>
    </w:pPr>
    <w:rPr>
      <w:rFonts w:cs="Arial"/>
      <w:bCs/>
      <w:sz w:val="28"/>
      <w:szCs w:val="28"/>
    </w:rPr>
  </w:style>
  <w:style w:type="paragraph" w:customStyle="1" w:styleId="7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4">
    <w:name w:val="blank"/>
    <w:qFormat/>
    <w:uiPriority w:val="0"/>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eastAsia="宋体" w:cs="Times New Roman"/>
      <w:sz w:val="24"/>
      <w:lang w:val="en-US" w:eastAsia="en-US" w:bidi="ar-SA"/>
    </w:rPr>
  </w:style>
  <w:style w:type="character" w:customStyle="1" w:styleId="75">
    <w:name w:val="结束语 Char"/>
    <w:basedOn w:val="48"/>
    <w:link w:val="18"/>
    <w:qFormat/>
    <w:uiPriority w:val="0"/>
    <w:rPr>
      <w:b/>
      <w:kern w:val="2"/>
      <w:sz w:val="21"/>
    </w:rPr>
  </w:style>
  <w:style w:type="character" w:customStyle="1" w:styleId="76">
    <w:name w:val="普通(网站) Char"/>
    <w:basedOn w:val="48"/>
    <w:link w:val="40"/>
    <w:qFormat/>
    <w:locked/>
    <w:uiPriority w:val="0"/>
    <w:rPr>
      <w:rFonts w:ascii="宋体" w:hAnsi="宋体" w:cs="宋体"/>
      <w:sz w:val="24"/>
      <w:szCs w:val="24"/>
    </w:rPr>
  </w:style>
  <w:style w:type="character" w:customStyle="1" w:styleId="77">
    <w:name w:val="xdrichtextbox2"/>
    <w:basedOn w:val="48"/>
    <w:qFormat/>
    <w:uiPriority w:val="0"/>
    <w:rPr>
      <w:color w:val="0000FF"/>
      <w:sz w:val="18"/>
      <w:szCs w:val="18"/>
      <w:u w:val="none"/>
      <w:bdr w:val="single" w:color="DCDCDC" w:sz="8" w:space="0"/>
      <w:shd w:val="clear" w:color="auto" w:fill="FFFFFF"/>
    </w:rPr>
  </w:style>
  <w:style w:type="character" w:customStyle="1" w:styleId="78">
    <w:name w:val="apple-converted-space"/>
    <w:basedOn w:val="48"/>
    <w:qFormat/>
    <w:uiPriority w:val="0"/>
  </w:style>
  <w:style w:type="character" w:customStyle="1" w:styleId="79">
    <w:name w:val="无间隔 Char"/>
    <w:basedOn w:val="48"/>
    <w:link w:val="80"/>
    <w:qFormat/>
    <w:uiPriority w:val="0"/>
    <w:rPr>
      <w:rFonts w:ascii="Calibri" w:hAnsi="Calibri"/>
      <w:sz w:val="22"/>
      <w:szCs w:val="22"/>
    </w:rPr>
  </w:style>
  <w:style w:type="paragraph" w:styleId="80">
    <w:name w:val="No Spacing"/>
    <w:link w:val="79"/>
    <w:qFormat/>
    <w:uiPriority w:val="0"/>
    <w:rPr>
      <w:rFonts w:ascii="Calibri" w:hAnsi="Calibri" w:eastAsia="宋体" w:cs="Times New Roman"/>
      <w:sz w:val="22"/>
      <w:szCs w:val="22"/>
      <w:lang w:val="en-US" w:eastAsia="zh-CN" w:bidi="ar-SA"/>
    </w:rPr>
  </w:style>
  <w:style w:type="character" w:customStyle="1" w:styleId="81">
    <w:name w:val="批注文字 Char"/>
    <w:basedOn w:val="48"/>
    <w:link w:val="16"/>
    <w:qFormat/>
    <w:uiPriority w:val="0"/>
    <w:rPr>
      <w:kern w:val="2"/>
      <w:sz w:val="21"/>
    </w:rPr>
  </w:style>
  <w:style w:type="character" w:customStyle="1" w:styleId="82">
    <w:name w:val="批注框文本 Char"/>
    <w:basedOn w:val="48"/>
    <w:link w:val="28"/>
    <w:qFormat/>
    <w:uiPriority w:val="0"/>
    <w:rPr>
      <w:kern w:val="2"/>
      <w:sz w:val="18"/>
      <w:szCs w:val="18"/>
    </w:rPr>
  </w:style>
  <w:style w:type="character" w:customStyle="1" w:styleId="83">
    <w:name w:val="正文文本缩进 3 Char"/>
    <w:basedOn w:val="48"/>
    <w:link w:val="34"/>
    <w:qFormat/>
    <w:uiPriority w:val="0"/>
    <w:rPr>
      <w:kern w:val="2"/>
      <w:sz w:val="28"/>
    </w:rPr>
  </w:style>
  <w:style w:type="character" w:customStyle="1" w:styleId="84">
    <w:name w:val="正文文本缩进 2 Char"/>
    <w:basedOn w:val="48"/>
    <w:link w:val="27"/>
    <w:qFormat/>
    <w:uiPriority w:val="0"/>
    <w:rPr>
      <w:rFonts w:ascii="宋体" w:hAnsi="宋体"/>
      <w:iCs/>
      <w:kern w:val="2"/>
      <w:sz w:val="24"/>
      <w:szCs w:val="24"/>
    </w:rPr>
  </w:style>
  <w:style w:type="character" w:customStyle="1" w:styleId="85">
    <w:name w:val="正文文本 Char"/>
    <w:basedOn w:val="48"/>
    <w:qFormat/>
    <w:uiPriority w:val="0"/>
    <w:rPr>
      <w:rFonts w:eastAsia="宋体"/>
      <w:sz w:val="24"/>
      <w:szCs w:val="24"/>
      <w:lang w:val="en-US" w:eastAsia="zh-CN" w:bidi="ar-SA"/>
    </w:rPr>
  </w:style>
  <w:style w:type="character" w:customStyle="1" w:styleId="86">
    <w:name w:val="en1"/>
    <w:basedOn w:val="48"/>
    <w:qFormat/>
    <w:uiPriority w:val="0"/>
    <w:rPr>
      <w:b/>
      <w:bCs/>
      <w:color w:val="154C7F"/>
      <w:sz w:val="24"/>
      <w:szCs w:val="24"/>
    </w:rPr>
  </w:style>
  <w:style w:type="character" w:customStyle="1" w:styleId="87">
    <w:name w:val="font01"/>
    <w:basedOn w:val="48"/>
    <w:qFormat/>
    <w:uiPriority w:val="0"/>
    <w:rPr>
      <w:rFonts w:hint="eastAsia" w:ascii="宋体" w:hAnsi="宋体" w:eastAsia="宋体" w:cs="宋体"/>
      <w:color w:val="000000"/>
      <w:sz w:val="20"/>
      <w:szCs w:val="20"/>
      <w:u w:val="none"/>
    </w:rPr>
  </w:style>
  <w:style w:type="character" w:customStyle="1" w:styleId="88">
    <w:name w:val="标题 Char"/>
    <w:basedOn w:val="48"/>
    <w:link w:val="42"/>
    <w:qFormat/>
    <w:uiPriority w:val="0"/>
    <w:rPr>
      <w:rFonts w:ascii="Arial" w:hAnsi="Arial" w:cs="Arial"/>
      <w:b/>
      <w:bCs/>
      <w:sz w:val="44"/>
      <w:szCs w:val="32"/>
    </w:rPr>
  </w:style>
  <w:style w:type="character" w:customStyle="1" w:styleId="89">
    <w:name w:val="正文文本缩进 Char"/>
    <w:basedOn w:val="48"/>
    <w:link w:val="20"/>
    <w:qFormat/>
    <w:uiPriority w:val="0"/>
    <w:rPr>
      <w:i/>
      <w:iCs/>
      <w:kern w:val="2"/>
      <w:sz w:val="21"/>
    </w:rPr>
  </w:style>
  <w:style w:type="character" w:customStyle="1" w:styleId="90">
    <w:name w:val="正文文本 3 Char"/>
    <w:basedOn w:val="48"/>
    <w:link w:val="17"/>
    <w:qFormat/>
    <w:uiPriority w:val="0"/>
    <w:rPr>
      <w:color w:val="0000FF"/>
      <w:kern w:val="2"/>
      <w:sz w:val="24"/>
      <w:szCs w:val="24"/>
    </w:rPr>
  </w:style>
  <w:style w:type="character" w:customStyle="1" w:styleId="91">
    <w:name w:val="font11"/>
    <w:basedOn w:val="48"/>
    <w:qFormat/>
    <w:uiPriority w:val="0"/>
    <w:rPr>
      <w:rFonts w:hint="default" w:ascii="Times New Roman" w:hAnsi="Times New Roman" w:cs="Times New Roman"/>
      <w:color w:val="000000"/>
      <w:sz w:val="20"/>
      <w:szCs w:val="20"/>
      <w:u w:val="none"/>
    </w:rPr>
  </w:style>
  <w:style w:type="character" w:customStyle="1" w:styleId="92">
    <w:name w:val="glossaryitem"/>
    <w:basedOn w:val="48"/>
    <w:qFormat/>
    <w:uiPriority w:val="0"/>
    <w:rPr>
      <w:u w:val="none"/>
    </w:rPr>
  </w:style>
  <w:style w:type="character" w:customStyle="1" w:styleId="93">
    <w:name w:val="HTML 预设格式 Char"/>
    <w:basedOn w:val="48"/>
    <w:link w:val="39"/>
    <w:qFormat/>
    <w:uiPriority w:val="0"/>
    <w:rPr>
      <w:rFonts w:ascii="Arial Unicode MS" w:hAnsi="Arial Unicode MS" w:eastAsia="Courier New" w:cs="Courier New"/>
    </w:rPr>
  </w:style>
  <w:style w:type="character" w:customStyle="1" w:styleId="94">
    <w:name w:val="文档结构图 Char"/>
    <w:basedOn w:val="48"/>
    <w:link w:val="15"/>
    <w:qFormat/>
    <w:uiPriority w:val="0"/>
    <w:rPr>
      <w:rFonts w:ascii="宋体"/>
      <w:sz w:val="28"/>
      <w:shd w:val="clear" w:color="auto" w:fill="000080"/>
    </w:rPr>
  </w:style>
  <w:style w:type="character" w:customStyle="1" w:styleId="95">
    <w:name w:val="日期 Char"/>
    <w:basedOn w:val="48"/>
    <w:link w:val="26"/>
    <w:qFormat/>
    <w:uiPriority w:val="0"/>
    <w:rPr>
      <w:kern w:val="2"/>
      <w:sz w:val="21"/>
      <w:szCs w:val="24"/>
    </w:rPr>
  </w:style>
  <w:style w:type="character" w:customStyle="1" w:styleId="96">
    <w:name w:val="正文文本 2 Char"/>
    <w:basedOn w:val="48"/>
    <w:link w:val="37"/>
    <w:qFormat/>
    <w:uiPriority w:val="0"/>
    <w:rPr>
      <w:kern w:val="2"/>
      <w:sz w:val="21"/>
      <w:szCs w:val="24"/>
    </w:rPr>
  </w:style>
  <w:style w:type="character" w:customStyle="1" w:styleId="97">
    <w:name w:val="正文首行缩进 Char"/>
    <w:basedOn w:val="85"/>
    <w:link w:val="44"/>
    <w:qFormat/>
    <w:uiPriority w:val="0"/>
    <w:rPr>
      <w:rFonts w:eastAsia="宋体"/>
      <w:sz w:val="21"/>
      <w:szCs w:val="21"/>
      <w:lang w:val="en-US" w:eastAsia="zh-CN" w:bidi="ar-SA"/>
    </w:rPr>
  </w:style>
  <w:style w:type="character" w:customStyle="1" w:styleId="98">
    <w:name w:val="批注主题 Char"/>
    <w:basedOn w:val="81"/>
    <w:link w:val="43"/>
    <w:qFormat/>
    <w:uiPriority w:val="0"/>
    <w:rPr>
      <w:b/>
      <w:bCs/>
      <w:kern w:val="2"/>
      <w:sz w:val="24"/>
      <w:szCs w:val="24"/>
    </w:rPr>
  </w:style>
  <w:style w:type="paragraph" w:customStyle="1" w:styleId="99">
    <w:name w:val="标题3(小3号)"/>
    <w:basedOn w:val="4"/>
    <w:next w:val="100"/>
    <w:qFormat/>
    <w:uiPriority w:val="0"/>
    <w:pPr>
      <w:widowControl/>
      <w:spacing w:before="0" w:after="0" w:line="420" w:lineRule="exact"/>
    </w:pPr>
    <w:rPr>
      <w:b w:val="0"/>
      <w:bCs w:val="0"/>
      <w:color w:val="000000"/>
      <w:kern w:val="0"/>
      <w:sz w:val="30"/>
      <w:szCs w:val="21"/>
    </w:rPr>
  </w:style>
  <w:style w:type="paragraph" w:customStyle="1" w:styleId="100">
    <w:name w:val="正文小3号"/>
    <w:qFormat/>
    <w:uiPriority w:val="0"/>
    <w:pPr>
      <w:ind w:firstLine="595"/>
      <w:jc w:val="both"/>
    </w:pPr>
    <w:rPr>
      <w:rFonts w:ascii="Times New Roman" w:hAnsi="Times New Roman" w:eastAsia="宋体" w:cs="Times New Roman"/>
      <w:sz w:val="30"/>
      <w:lang w:val="en-US" w:eastAsia="zh-CN" w:bidi="ar-SA"/>
    </w:rPr>
  </w:style>
  <w:style w:type="character" w:customStyle="1" w:styleId="101">
    <w:name w:val="正文首行缩进 Char1"/>
    <w:basedOn w:val="65"/>
    <w:qFormat/>
    <w:uiPriority w:val="0"/>
    <w:rPr>
      <w:rFonts w:ascii="宋体" w:hAnsi="宋体" w:cs="宋体"/>
      <w:sz w:val="24"/>
      <w:szCs w:val="24"/>
      <w:lang w:eastAsia="en-US"/>
    </w:rPr>
  </w:style>
  <w:style w:type="character" w:customStyle="1" w:styleId="102">
    <w:name w:val="信息标题 Char"/>
    <w:basedOn w:val="48"/>
    <w:link w:val="38"/>
    <w:qFormat/>
    <w:uiPriority w:val="0"/>
    <w:rPr>
      <w:rFonts w:ascii="Arial" w:hAnsi="Arial" w:cs="Arial"/>
      <w:kern w:val="2"/>
      <w:sz w:val="24"/>
      <w:szCs w:val="24"/>
      <w:shd w:val="pct20" w:color="auto" w:fill="auto"/>
    </w:rPr>
  </w:style>
  <w:style w:type="character" w:customStyle="1" w:styleId="103">
    <w:name w:val="正文文本 3 Char1"/>
    <w:basedOn w:val="48"/>
    <w:qFormat/>
    <w:uiPriority w:val="0"/>
    <w:rPr>
      <w:rFonts w:ascii="宋体" w:hAnsi="宋体" w:cs="宋体"/>
      <w:sz w:val="16"/>
      <w:szCs w:val="16"/>
      <w:lang w:eastAsia="en-US"/>
    </w:rPr>
  </w:style>
  <w:style w:type="paragraph" w:customStyle="1" w:styleId="104">
    <w:name w:val="封面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05">
    <w:name w:val="正"/>
    <w:basedOn w:val="1"/>
    <w:qFormat/>
    <w:uiPriority w:val="0"/>
    <w:pPr>
      <w:tabs>
        <w:tab w:val="left" w:pos="-120"/>
      </w:tabs>
      <w:autoSpaceDE/>
      <w:autoSpaceDN/>
      <w:adjustRightInd w:val="0"/>
      <w:spacing w:line="560" w:lineRule="exact"/>
      <w:ind w:firstLine="600"/>
      <w:jc w:val="both"/>
      <w:textAlignment w:val="baseline"/>
    </w:pPr>
    <w:rPr>
      <w:rFonts w:ascii="仿宋_GB2312" w:hAnsi="Times New Roman" w:eastAsia="仿宋_GB2312" w:cs="Times New Roman"/>
      <w:color w:val="000000"/>
      <w:spacing w:val="20"/>
      <w:sz w:val="28"/>
      <w:szCs w:val="20"/>
      <w:lang w:eastAsia="zh-CN"/>
    </w:rPr>
  </w:style>
  <w:style w:type="character" w:customStyle="1" w:styleId="106">
    <w:name w:val="正文文本缩进 2 Char1"/>
    <w:basedOn w:val="48"/>
    <w:qFormat/>
    <w:uiPriority w:val="0"/>
    <w:rPr>
      <w:rFonts w:ascii="宋体" w:hAnsi="宋体" w:cs="宋体"/>
      <w:sz w:val="22"/>
      <w:szCs w:val="22"/>
      <w:lang w:eastAsia="en-US"/>
    </w:rPr>
  </w:style>
  <w:style w:type="character" w:customStyle="1" w:styleId="107">
    <w:name w:val="批注文字 Char1"/>
    <w:basedOn w:val="48"/>
    <w:qFormat/>
    <w:uiPriority w:val="0"/>
    <w:rPr>
      <w:rFonts w:ascii="宋体" w:hAnsi="宋体" w:cs="宋体"/>
      <w:sz w:val="22"/>
      <w:szCs w:val="22"/>
      <w:lang w:eastAsia="en-US"/>
    </w:rPr>
  </w:style>
  <w:style w:type="paragraph" w:customStyle="1" w:styleId="108">
    <w:name w:val="A"/>
    <w:basedOn w:val="1"/>
    <w:qFormat/>
    <w:uiPriority w:val="0"/>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109">
    <w:name w:val="标题3"/>
    <w:basedOn w:val="4"/>
    <w:qFormat/>
    <w:uiPriority w:val="0"/>
    <w:pPr>
      <w:keepLines w:val="0"/>
      <w:numPr>
        <w:ilvl w:val="2"/>
        <w:numId w:val="3"/>
      </w:numPr>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110">
    <w:name w:val="Char Char Char Char Char Char Char Char Char Char Char1 Char Char Char"/>
    <w:basedOn w:val="1"/>
    <w:qFormat/>
    <w:uiPriority w:val="0"/>
    <w:pPr>
      <w:autoSpaceDE/>
      <w:autoSpaceDN/>
      <w:jc w:val="both"/>
    </w:pPr>
    <w:rPr>
      <w:rFonts w:ascii="Times New Roman" w:hAnsi="Times New Roman" w:cs="Times New Roman"/>
      <w:kern w:val="2"/>
      <w:sz w:val="21"/>
      <w:szCs w:val="24"/>
      <w:lang w:eastAsia="zh-CN"/>
    </w:rPr>
  </w:style>
  <w:style w:type="character" w:customStyle="1" w:styleId="111">
    <w:name w:val="文档结构图 Char1"/>
    <w:basedOn w:val="48"/>
    <w:qFormat/>
    <w:uiPriority w:val="0"/>
    <w:rPr>
      <w:rFonts w:ascii="宋体" w:hAnsi="宋体" w:cs="宋体"/>
      <w:sz w:val="18"/>
      <w:szCs w:val="18"/>
      <w:lang w:eastAsia="en-US"/>
    </w:rPr>
  </w:style>
  <w:style w:type="character" w:customStyle="1" w:styleId="112">
    <w:name w:val="日期 Char1"/>
    <w:basedOn w:val="48"/>
    <w:qFormat/>
    <w:uiPriority w:val="0"/>
    <w:rPr>
      <w:rFonts w:ascii="宋体" w:hAnsi="宋体" w:cs="宋体"/>
      <w:sz w:val="22"/>
      <w:szCs w:val="22"/>
      <w:lang w:eastAsia="en-US"/>
    </w:rPr>
  </w:style>
  <w:style w:type="paragraph" w:customStyle="1" w:styleId="113">
    <w:name w:val="标题3(3号)"/>
    <w:basedOn w:val="4"/>
    <w:next w:val="114"/>
    <w:qFormat/>
    <w:uiPriority w:val="0"/>
    <w:pPr>
      <w:widowControl/>
      <w:spacing w:before="0" w:after="0" w:line="420" w:lineRule="exact"/>
    </w:pPr>
    <w:rPr>
      <w:b w:val="0"/>
      <w:bCs w:val="0"/>
      <w:color w:val="000000"/>
      <w:kern w:val="0"/>
      <w:szCs w:val="21"/>
    </w:rPr>
  </w:style>
  <w:style w:type="paragraph" w:customStyle="1" w:styleId="114">
    <w:name w:val="正文3号字"/>
    <w:qFormat/>
    <w:uiPriority w:val="0"/>
    <w:pPr>
      <w:ind w:firstLine="652"/>
      <w:jc w:val="both"/>
    </w:pPr>
    <w:rPr>
      <w:rFonts w:ascii="Times New Roman" w:hAnsi="Times New Roman" w:eastAsia="宋体" w:cs="Times New Roman"/>
      <w:sz w:val="32"/>
      <w:lang w:val="en-US" w:eastAsia="zh-CN" w:bidi="ar-SA"/>
    </w:rPr>
  </w:style>
  <w:style w:type="paragraph" w:customStyle="1" w:styleId="115">
    <w:name w:val="封面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character" w:customStyle="1" w:styleId="116">
    <w:name w:val="HTML 预设格式 Char1"/>
    <w:basedOn w:val="48"/>
    <w:qFormat/>
    <w:uiPriority w:val="0"/>
    <w:rPr>
      <w:rFonts w:ascii="Courier New" w:hAnsi="Courier New" w:cs="Courier New"/>
      <w:lang w:eastAsia="en-US"/>
    </w:rPr>
  </w:style>
  <w:style w:type="character" w:customStyle="1" w:styleId="117">
    <w:name w:val="正文文本缩进 Char1"/>
    <w:basedOn w:val="48"/>
    <w:qFormat/>
    <w:uiPriority w:val="0"/>
    <w:rPr>
      <w:rFonts w:ascii="宋体" w:hAnsi="宋体" w:cs="宋体"/>
      <w:sz w:val="22"/>
      <w:szCs w:val="22"/>
      <w:lang w:eastAsia="en-US"/>
    </w:rPr>
  </w:style>
  <w:style w:type="paragraph" w:customStyle="1" w:styleId="118">
    <w:name w:val="标题2(小3号)"/>
    <w:basedOn w:val="3"/>
    <w:next w:val="119"/>
    <w:qFormat/>
    <w:uiPriority w:val="0"/>
    <w:pPr>
      <w:keepNext/>
      <w:keepLines/>
      <w:widowControl/>
      <w:autoSpaceDE/>
      <w:autoSpaceDN/>
      <w:spacing w:line="360" w:lineRule="auto"/>
      <w:ind w:left="420" w:hanging="420" w:hangingChars="200"/>
      <w:jc w:val="both"/>
    </w:pPr>
    <w:rPr>
      <w:rFonts w:cs="Times New Roman"/>
      <w:b w:val="0"/>
      <w:bCs w:val="0"/>
      <w:color w:val="000000"/>
      <w:sz w:val="30"/>
      <w:szCs w:val="21"/>
      <w:lang w:eastAsia="zh-CN"/>
    </w:rPr>
  </w:style>
  <w:style w:type="paragraph" w:customStyle="1" w:styleId="119">
    <w:name w:val="正文4号字"/>
    <w:qFormat/>
    <w:uiPriority w:val="0"/>
    <w:pPr>
      <w:ind w:firstLine="567"/>
      <w:jc w:val="both"/>
    </w:pPr>
    <w:rPr>
      <w:rFonts w:ascii="Times New Roman" w:hAnsi="Times New Roman" w:eastAsia="宋体" w:cs="Times New Roman"/>
      <w:sz w:val="28"/>
      <w:lang w:val="en-US" w:eastAsia="zh-CN" w:bidi="ar-SA"/>
    </w:rPr>
  </w:style>
  <w:style w:type="paragraph" w:customStyle="1" w:styleId="120">
    <w:name w:val="标题1(2号)"/>
    <w:basedOn w:val="2"/>
    <w:next w:val="114"/>
    <w:qFormat/>
    <w:uiPriority w:val="0"/>
    <w:pPr>
      <w:keepLines/>
      <w:autoSpaceDE/>
      <w:autoSpaceDN/>
      <w:ind w:left="0"/>
      <w:jc w:val="both"/>
    </w:pPr>
    <w:rPr>
      <w:rFonts w:ascii="Arial" w:hAnsi="Arial" w:cs="Times New Roman"/>
      <w:bCs w:val="0"/>
      <w:color w:val="0000FF"/>
      <w:kern w:val="44"/>
      <w:sz w:val="44"/>
      <w:szCs w:val="36"/>
      <w:lang w:eastAsia="zh-CN"/>
    </w:rPr>
  </w:style>
  <w:style w:type="paragraph" w:customStyle="1" w:styleId="121">
    <w:name w:val="Content"/>
    <w:basedOn w:val="1"/>
    <w:qFormat/>
    <w:uiPriority w:val="0"/>
    <w:pPr>
      <w:autoSpaceDE/>
      <w:autoSpaceDN/>
      <w:jc w:val="both"/>
    </w:pPr>
    <w:rPr>
      <w:rFonts w:ascii="Times New Roman" w:hAnsi="Times New Roman" w:cs="Times New Roman"/>
      <w:kern w:val="2"/>
      <w:sz w:val="20"/>
      <w:szCs w:val="21"/>
      <w:lang w:eastAsia="zh-CN"/>
    </w:rPr>
  </w:style>
  <w:style w:type="paragraph" w:customStyle="1" w:styleId="122">
    <w:name w:val="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23">
    <w:name w:val="正文5号字"/>
    <w:qFormat/>
    <w:uiPriority w:val="0"/>
    <w:pPr>
      <w:jc w:val="both"/>
    </w:pPr>
    <w:rPr>
      <w:rFonts w:ascii="Times New Roman" w:hAnsi="Times New Roman" w:eastAsia="宋体" w:cs="Times New Roman"/>
      <w:sz w:val="21"/>
      <w:lang w:val="en-US" w:eastAsia="zh-CN" w:bidi="ar-SA"/>
    </w:rPr>
  </w:style>
  <w:style w:type="character" w:customStyle="1" w:styleId="124">
    <w:name w:val="正文文本 2 Char1"/>
    <w:basedOn w:val="48"/>
    <w:qFormat/>
    <w:uiPriority w:val="0"/>
    <w:rPr>
      <w:rFonts w:ascii="宋体" w:hAnsi="宋体" w:cs="宋体"/>
      <w:sz w:val="22"/>
      <w:szCs w:val="22"/>
      <w:lang w:eastAsia="en-US"/>
    </w:rPr>
  </w:style>
  <w:style w:type="character" w:customStyle="1" w:styleId="125">
    <w:name w:val="标题 Char1"/>
    <w:basedOn w:val="48"/>
    <w:qFormat/>
    <w:uiPriority w:val="0"/>
    <w:rPr>
      <w:rFonts w:asciiTheme="majorHAnsi" w:hAnsiTheme="majorHAnsi" w:cstheme="majorBidi"/>
      <w:b/>
      <w:bCs/>
      <w:sz w:val="32"/>
      <w:szCs w:val="32"/>
      <w:lang w:eastAsia="en-US"/>
    </w:rPr>
  </w:style>
  <w:style w:type="character" w:customStyle="1" w:styleId="126">
    <w:name w:val="正文文本缩进 3 Char1"/>
    <w:basedOn w:val="48"/>
    <w:qFormat/>
    <w:uiPriority w:val="0"/>
    <w:rPr>
      <w:rFonts w:ascii="宋体" w:hAnsi="宋体" w:cs="宋体"/>
      <w:sz w:val="16"/>
      <w:szCs w:val="16"/>
      <w:lang w:eastAsia="en-US"/>
    </w:rPr>
  </w:style>
  <w:style w:type="paragraph" w:customStyle="1" w:styleId="127">
    <w:name w:val="标准"/>
    <w:basedOn w:val="1"/>
    <w:qFormat/>
    <w:uiPriority w:val="0"/>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128">
    <w:name w:val="Char1"/>
    <w:basedOn w:val="1"/>
    <w:qFormat/>
    <w:uiPriority w:val="0"/>
    <w:pPr>
      <w:autoSpaceDE/>
      <w:autoSpaceDN/>
      <w:jc w:val="both"/>
    </w:pPr>
    <w:rPr>
      <w:rFonts w:ascii="Times New Roman" w:hAnsi="Times New Roman" w:cs="Times New Roman"/>
      <w:kern w:val="2"/>
      <w:sz w:val="21"/>
      <w:szCs w:val="21"/>
      <w:lang w:eastAsia="zh-CN"/>
    </w:rPr>
  </w:style>
  <w:style w:type="character" w:customStyle="1" w:styleId="129">
    <w:name w:val="批注框文本 Char1"/>
    <w:basedOn w:val="48"/>
    <w:qFormat/>
    <w:uiPriority w:val="0"/>
    <w:rPr>
      <w:rFonts w:ascii="宋体" w:hAnsi="宋体" w:cs="宋体"/>
      <w:sz w:val="18"/>
      <w:szCs w:val="18"/>
      <w:lang w:eastAsia="en-US"/>
    </w:rPr>
  </w:style>
  <w:style w:type="character" w:customStyle="1" w:styleId="130">
    <w:name w:val="批注主题 Char1"/>
    <w:basedOn w:val="107"/>
    <w:qFormat/>
    <w:uiPriority w:val="0"/>
    <w:rPr>
      <w:rFonts w:ascii="宋体" w:hAnsi="宋体" w:cs="宋体"/>
      <w:b/>
      <w:bCs/>
      <w:sz w:val="22"/>
      <w:szCs w:val="22"/>
      <w:lang w:eastAsia="en-US"/>
    </w:rPr>
  </w:style>
  <w:style w:type="paragraph" w:customStyle="1" w:styleId="131">
    <w:name w:val="封底页脚"/>
    <w:basedOn w:val="29"/>
    <w:qFormat/>
    <w:uiPriority w:val="0"/>
    <w:pPr>
      <w:widowControl/>
      <w:tabs>
        <w:tab w:val="clear" w:pos="4153"/>
        <w:tab w:val="clear" w:pos="8306"/>
      </w:tabs>
      <w:autoSpaceDE/>
      <w:autoSpaceDN/>
      <w:jc w:val="center"/>
    </w:pPr>
    <w:rPr>
      <w:rFonts w:ascii="Times New Roman" w:hAnsi="Times New Roman" w:cs="Times New Roman"/>
      <w:lang w:eastAsia="zh-CN"/>
    </w:rPr>
  </w:style>
  <w:style w:type="paragraph" w:customStyle="1" w:styleId="132">
    <w:name w:val="标题3(4号)"/>
    <w:basedOn w:val="4"/>
    <w:next w:val="119"/>
    <w:qFormat/>
    <w:uiPriority w:val="0"/>
    <w:pPr>
      <w:widowControl/>
      <w:spacing w:before="0" w:after="0" w:line="420" w:lineRule="exact"/>
    </w:pPr>
    <w:rPr>
      <w:b w:val="0"/>
      <w:bCs w:val="0"/>
      <w:color w:val="000000"/>
      <w:kern w:val="0"/>
      <w:sz w:val="28"/>
      <w:szCs w:val="21"/>
    </w:rPr>
  </w:style>
  <w:style w:type="paragraph" w:customStyle="1" w:styleId="133">
    <w:name w:val="标题2"/>
    <w:basedOn w:val="3"/>
    <w:qFormat/>
    <w:uiPriority w:val="0"/>
    <w:pPr>
      <w:numPr>
        <w:ilvl w:val="1"/>
        <w:numId w:val="4"/>
      </w:numPr>
      <w:tabs>
        <w:tab w:val="left" w:pos="567"/>
        <w:tab w:val="left" w:pos="840"/>
        <w:tab w:val="left" w:pos="1840"/>
      </w:tabs>
      <w:autoSpaceDE/>
      <w:autoSpaceDN/>
      <w:adjustRightInd w:val="0"/>
      <w:spacing w:line="480" w:lineRule="exact"/>
      <w:jc w:val="both"/>
      <w:textAlignment w:val="baseline"/>
    </w:pPr>
    <w:rPr>
      <w:rFonts w:cs="Times New Roman"/>
      <w:bCs w:val="0"/>
      <w:color w:val="000000"/>
      <w:lang w:eastAsia="zh-CN"/>
    </w:rPr>
  </w:style>
  <w:style w:type="paragraph" w:customStyle="1" w:styleId="134">
    <w:name w:val="默认段落字体 Para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5">
    <w:name w:val="xl31"/>
    <w:basedOn w:val="1"/>
    <w:qFormat/>
    <w:uiPriority w:val="0"/>
    <w:pPr>
      <w:widowControl/>
      <w:numPr>
        <w:ilvl w:val="0"/>
        <w:numId w:val="5"/>
      </w:numPr>
      <w:pBdr>
        <w:bottom w:val="single" w:color="auto" w:sz="4" w:space="0"/>
        <w:right w:val="single" w:color="auto" w:sz="4" w:space="0"/>
      </w:pBdr>
      <w:tabs>
        <w:tab w:val="left" w:pos="1382"/>
      </w:tabs>
      <w:autoSpaceDE/>
      <w:autoSpaceDN/>
      <w:spacing w:before="100" w:beforeAutospacing="1" w:after="100" w:afterAutospacing="1"/>
      <w:jc w:val="center"/>
    </w:pPr>
    <w:rPr>
      <w:rFonts w:ascii="Times New Roman" w:hAnsi="Times New Roman" w:eastAsia="Arial Unicode MS" w:cs="Times New Roman"/>
      <w:sz w:val="20"/>
      <w:szCs w:val="20"/>
      <w:lang w:eastAsia="zh-CN"/>
    </w:rPr>
  </w:style>
  <w:style w:type="paragraph" w:customStyle="1" w:styleId="136">
    <w:name w:val="金2"/>
    <w:basedOn w:val="1"/>
    <w:next w:val="1"/>
    <w:qFormat/>
    <w:uiPriority w:val="0"/>
    <w:pPr>
      <w:autoSpaceDE/>
      <w:autoSpaceDN/>
      <w:spacing w:line="360" w:lineRule="auto"/>
    </w:pPr>
    <w:rPr>
      <w:rFonts w:ascii="Times New Roman" w:hAnsi="Times New Roman" w:cs="Times New Roman"/>
      <w:b/>
      <w:kern w:val="2"/>
      <w:sz w:val="24"/>
      <w:szCs w:val="20"/>
      <w:lang w:eastAsia="zh-CN"/>
    </w:rPr>
  </w:style>
  <w:style w:type="paragraph" w:customStyle="1" w:styleId="137">
    <w:name w:val="Char1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38">
    <w:name w:val="消息标题标签"/>
    <w:basedOn w:val="38"/>
    <w:next w:val="38"/>
    <w:qFormat/>
    <w:uiPriority w:val="0"/>
    <w:pPr>
      <w:keepLines/>
      <w:widowControl/>
      <w:pBdr>
        <w:top w:val="none" w:color="auto" w:sz="0" w:space="0"/>
        <w:left w:val="none" w:color="auto" w:sz="0" w:space="0"/>
        <w:bottom w:val="none" w:color="auto" w:sz="0" w:space="0"/>
        <w:right w:val="none" w:color="auto" w:sz="0" w:space="0"/>
      </w:pBdr>
      <w:shd w:val="clear" w:color="auto" w:fill="auto"/>
      <w:spacing w:before="40" w:line="140" w:lineRule="atLeast"/>
      <w:ind w:left="0" w:leftChars="0" w:firstLine="7" w:firstLineChars="3"/>
      <w:jc w:val="left"/>
    </w:pPr>
    <w:rPr>
      <w:rFonts w:ascii="宋体" w:hAnsi="宋体" w:cs="Times New Roman"/>
      <w:bCs/>
      <w:caps/>
      <w:kern w:val="0"/>
      <w:position w:val="6"/>
      <w:szCs w:val="20"/>
      <w:lang w:bidi="he-IL"/>
    </w:rPr>
  </w:style>
  <w:style w:type="paragraph" w:customStyle="1" w:styleId="139">
    <w:name w:val="默认段落字体 Para Char"/>
    <w:basedOn w:val="1"/>
    <w:qFormat/>
    <w:uiPriority w:val="0"/>
    <w:pPr>
      <w:autoSpaceDE/>
      <w:autoSpaceDN/>
      <w:spacing w:line="360" w:lineRule="auto"/>
      <w:jc w:val="both"/>
    </w:pPr>
    <w:rPr>
      <w:kern w:val="2"/>
      <w:sz w:val="24"/>
      <w:szCs w:val="24"/>
      <w:lang w:eastAsia="zh-CN"/>
    </w:rPr>
  </w:style>
  <w:style w:type="paragraph" w:customStyle="1" w:styleId="140">
    <w:name w:val="Char Char Char Char Char Char 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1">
    <w:name w:val="样式1"/>
    <w:basedOn w:val="1"/>
    <w:qFormat/>
    <w:uiPriority w:val="0"/>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142">
    <w:name w:val="表格"/>
    <w:basedOn w:val="1"/>
    <w:qFormat/>
    <w:uiPriority w:val="0"/>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143">
    <w:name w:val="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4">
    <w:name w:val="正文2"/>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145">
    <w:name w:val="样式2"/>
    <w:basedOn w:val="1"/>
    <w:qFormat/>
    <w:uiPriority w:val="0"/>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146">
    <w:name w:val="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47">
    <w:name w:val="封底页眉"/>
    <w:basedOn w:val="30"/>
    <w:qFormat/>
    <w:uiPriority w:val="0"/>
    <w:pPr>
      <w:pBdr>
        <w:top w:val="none" w:color="auto" w:sz="0" w:space="0"/>
        <w:left w:val="none" w:color="auto" w:sz="0" w:space="0"/>
        <w:bottom w:val="none" w:color="auto" w:sz="0" w:space="0"/>
        <w:right w:val="none" w:color="auto" w:sz="0" w:space="0"/>
      </w:pBdr>
      <w:tabs>
        <w:tab w:val="left" w:pos="140"/>
        <w:tab w:val="center" w:pos="4760"/>
        <w:tab w:val="right" w:pos="9240"/>
        <w:tab w:val="clear" w:pos="4153"/>
        <w:tab w:val="clear" w:pos="8306"/>
      </w:tabs>
      <w:autoSpaceDE/>
      <w:autoSpaceDN/>
      <w:adjustRightInd w:val="0"/>
      <w:textAlignment w:val="baseline"/>
    </w:pPr>
    <w:rPr>
      <w:rFonts w:ascii="Times New Roman" w:cs="Times New Roman"/>
      <w:bCs/>
      <w:szCs w:val="18"/>
      <w:lang w:eastAsia="zh-CN"/>
    </w:rPr>
  </w:style>
  <w:style w:type="paragraph" w:customStyle="1" w:styleId="148">
    <w:name w:val="c"/>
    <w:qFormat/>
    <w:uiPriority w:val="0"/>
    <w:pPr>
      <w:widowControl w:val="0"/>
      <w:autoSpaceDE w:val="0"/>
      <w:autoSpaceDN w:val="0"/>
      <w:adjustRightInd w:val="0"/>
      <w:jc w:val="both"/>
    </w:pPr>
    <w:rPr>
      <w:rFonts w:ascii="五" w:hAnsi="Times New Roman" w:eastAsia="五" w:cs="Times New Roman"/>
      <w:sz w:val="24"/>
      <w:lang w:val="en-US" w:eastAsia="zh-CN" w:bidi="ar-SA"/>
    </w:rPr>
  </w:style>
  <w:style w:type="paragraph" w:customStyle="1" w:styleId="149">
    <w:name w:val="标题3(小4号)"/>
    <w:basedOn w:val="4"/>
    <w:next w:val="150"/>
    <w:qFormat/>
    <w:uiPriority w:val="0"/>
    <w:pPr>
      <w:widowControl/>
      <w:spacing w:before="0" w:after="0" w:line="420" w:lineRule="exact"/>
    </w:pPr>
    <w:rPr>
      <w:b w:val="0"/>
      <w:bCs w:val="0"/>
      <w:color w:val="000000"/>
      <w:kern w:val="0"/>
      <w:sz w:val="24"/>
      <w:szCs w:val="21"/>
    </w:rPr>
  </w:style>
  <w:style w:type="paragraph" w:customStyle="1" w:styleId="150">
    <w:name w:val="正文小4号"/>
    <w:qFormat/>
    <w:uiPriority w:val="0"/>
    <w:pPr>
      <w:ind w:firstLine="539"/>
      <w:jc w:val="both"/>
    </w:pPr>
    <w:rPr>
      <w:rFonts w:ascii="Times New Roman" w:hAnsi="Times New Roman" w:eastAsia="宋体" w:cs="Times New Roman"/>
      <w:sz w:val="24"/>
      <w:lang w:val="en-US" w:eastAsia="zh-CN" w:bidi="ar-SA"/>
    </w:rPr>
  </w:style>
  <w:style w:type="paragraph" w:customStyle="1" w:styleId="151">
    <w:name w:val="标题3(5号)"/>
    <w:basedOn w:val="4"/>
    <w:next w:val="123"/>
    <w:qFormat/>
    <w:uiPriority w:val="0"/>
    <w:pPr>
      <w:widowControl/>
      <w:spacing w:before="0" w:after="0" w:line="420" w:lineRule="exact"/>
    </w:pPr>
    <w:rPr>
      <w:b w:val="0"/>
      <w:bCs w:val="0"/>
      <w:color w:val="000000"/>
      <w:kern w:val="0"/>
      <w:sz w:val="21"/>
      <w:szCs w:val="21"/>
    </w:rPr>
  </w:style>
  <w:style w:type="paragraph" w:customStyle="1" w:styleId="152">
    <w:name w:val="Char Char Char Char Char1"/>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53">
    <w:name w:val="xl25"/>
    <w:basedOn w:val="1"/>
    <w:qFormat/>
    <w:uiPriority w:val="0"/>
    <w:pPr>
      <w:widowControl/>
      <w:pBdr>
        <w:top w:val="single" w:color="auto" w:sz="4" w:space="0"/>
        <w:bottom w:val="single" w:color="auto" w:sz="4" w:space="0"/>
        <w:right w:val="single" w:color="auto" w:sz="4" w:space="0"/>
      </w:pBdr>
      <w:autoSpaceDE/>
      <w:autoSpaceDN/>
      <w:spacing w:before="100" w:beforeAutospacing="1" w:after="100" w:afterAutospacing="1"/>
      <w:jc w:val="both"/>
    </w:pPr>
    <w:rPr>
      <w:rFonts w:ascii="Times New Roman" w:hAnsi="Times New Roman" w:eastAsia="Arial Unicode MS" w:cs="Times New Roman"/>
      <w:sz w:val="21"/>
      <w:szCs w:val="21"/>
      <w:lang w:eastAsia="zh-CN"/>
    </w:rPr>
  </w:style>
  <w:style w:type="paragraph" w:customStyle="1" w:styleId="154">
    <w:name w:val="标题2(小2号)"/>
    <w:basedOn w:val="3"/>
    <w:next w:val="114"/>
    <w:qFormat/>
    <w:uiPriority w:val="0"/>
    <w:pPr>
      <w:keepNext/>
      <w:keepLines/>
      <w:widowControl/>
      <w:autoSpaceDE/>
      <w:autoSpaceDN/>
      <w:spacing w:line="360" w:lineRule="auto"/>
      <w:ind w:left="420" w:hanging="420" w:hangingChars="200"/>
      <w:jc w:val="both"/>
    </w:pPr>
    <w:rPr>
      <w:rFonts w:cs="Times New Roman"/>
      <w:b w:val="0"/>
      <w:bCs w:val="0"/>
      <w:color w:val="000000"/>
      <w:sz w:val="36"/>
      <w:szCs w:val="21"/>
      <w:lang w:eastAsia="zh-CN"/>
    </w:rPr>
  </w:style>
  <w:style w:type="paragraph" w:customStyle="1" w:styleId="155">
    <w:name w:val="标题1 Char Char Char"/>
    <w:basedOn w:val="2"/>
    <w:qFormat/>
    <w:uiPriority w:val="0"/>
    <w:pPr>
      <w:keepNext/>
      <w:keepLines/>
      <w:tabs>
        <w:tab w:val="left" w:pos="540"/>
      </w:tabs>
      <w:autoSpaceDE/>
      <w:autoSpaceDN/>
      <w:adjustRightInd w:val="0"/>
      <w:snapToGrid w:val="0"/>
      <w:spacing w:afterLines="50" w:line="400" w:lineRule="exact"/>
      <w:ind w:left="0"/>
      <w:jc w:val="center"/>
      <w:textAlignment w:val="baseline"/>
    </w:pPr>
    <w:rPr>
      <w:rFonts w:ascii="Times New Roman" w:hAnsi="Times New Roman" w:eastAsia="黑体" w:cs="Times New Roman"/>
      <w:kern w:val="44"/>
      <w:sz w:val="44"/>
      <w:szCs w:val="20"/>
      <w:lang w:eastAsia="zh-CN"/>
    </w:rPr>
  </w:style>
  <w:style w:type="paragraph" w:customStyle="1" w:styleId="156">
    <w:name w:val="标题1"/>
    <w:basedOn w:val="2"/>
    <w:qFormat/>
    <w:uiPriority w:val="0"/>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157">
    <w:name w:val="页眉（隶书）"/>
    <w:basedOn w:val="30"/>
    <w:qFormat/>
    <w:uiPriority w:val="0"/>
    <w:pPr>
      <w:pBdr>
        <w:top w:val="none" w:color="auto" w:sz="0" w:space="0"/>
        <w:left w:val="none" w:color="auto" w:sz="0" w:space="0"/>
        <w:bottom w:val="single" w:color="auto" w:sz="6" w:space="1"/>
        <w:right w:val="none" w:color="auto" w:sz="0" w:space="0"/>
      </w:pBdr>
      <w:tabs>
        <w:tab w:val="left" w:pos="140"/>
        <w:tab w:val="center" w:pos="4760"/>
        <w:tab w:val="right" w:pos="9240"/>
        <w:tab w:val="clear" w:pos="4153"/>
        <w:tab w:val="clear" w:pos="8306"/>
      </w:tabs>
      <w:autoSpaceDE/>
      <w:autoSpaceDN/>
      <w:adjustRightInd w:val="0"/>
      <w:textAlignment w:val="baseline"/>
    </w:pPr>
    <w:rPr>
      <w:rFonts w:ascii="隶书" w:eastAsia="隶书" w:cs="Times New Roman"/>
      <w:bCs/>
      <w:color w:val="0000FF"/>
      <w:sz w:val="21"/>
      <w:szCs w:val="18"/>
      <w:lang w:eastAsia="zh-CN"/>
    </w:rPr>
  </w:style>
  <w:style w:type="paragraph" w:customStyle="1" w:styleId="158">
    <w:name w:val="标题1(4号)"/>
    <w:basedOn w:val="2"/>
    <w:next w:val="123"/>
    <w:qFormat/>
    <w:uiPriority w:val="0"/>
    <w:pPr>
      <w:keepLines/>
      <w:autoSpaceDE/>
      <w:autoSpaceDN/>
      <w:spacing w:beforeLines="50" w:afterLines="50"/>
      <w:ind w:left="0"/>
      <w:jc w:val="both"/>
    </w:pPr>
    <w:rPr>
      <w:rFonts w:cs="Times New Roman"/>
      <w:color w:val="000000"/>
      <w:kern w:val="44"/>
      <w:sz w:val="36"/>
      <w:szCs w:val="36"/>
      <w:lang w:eastAsia="zh-CN"/>
    </w:rPr>
  </w:style>
  <w:style w:type="paragraph" w:customStyle="1" w:styleId="159">
    <w:name w:val="表格侧编号"/>
    <w:next w:val="1"/>
    <w:qFormat/>
    <w:uiPriority w:val="0"/>
    <w:pPr>
      <w:widowControl w:val="0"/>
      <w:adjustRightInd w:val="0"/>
      <w:snapToGrid w:val="0"/>
      <w:spacing w:before="40" w:after="20" w:line="240" w:lineRule="atLeast"/>
      <w:jc w:val="center"/>
      <w:textAlignment w:val="baseline"/>
    </w:pPr>
    <w:rPr>
      <w:rFonts w:ascii="Arial" w:hAnsi="Arial" w:eastAsia="宋体" w:cs="Times New Roman"/>
      <w:sz w:val="24"/>
      <w:lang w:val="en-US" w:eastAsia="zh-CN" w:bidi="ar-SA"/>
    </w:rPr>
  </w:style>
  <w:style w:type="paragraph" w:customStyle="1" w:styleId="160">
    <w:name w:val="Char Char Char Char Char Char Char Char Char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1">
    <w:name w:val="标题2(4号)"/>
    <w:basedOn w:val="3"/>
    <w:next w:val="150"/>
    <w:qFormat/>
    <w:uiPriority w:val="0"/>
    <w:pPr>
      <w:keepNext/>
      <w:keepLines/>
      <w:widowControl/>
      <w:autoSpaceDE/>
      <w:autoSpaceDN/>
      <w:spacing w:line="360" w:lineRule="auto"/>
      <w:ind w:left="420" w:hanging="420" w:hangingChars="200"/>
      <w:jc w:val="both"/>
    </w:pPr>
    <w:rPr>
      <w:rFonts w:cs="Times New Roman"/>
      <w:b w:val="0"/>
      <w:bCs w:val="0"/>
      <w:color w:val="000000"/>
      <w:sz w:val="28"/>
      <w:szCs w:val="21"/>
      <w:lang w:eastAsia="zh-CN"/>
    </w:rPr>
  </w:style>
  <w:style w:type="paragraph" w:customStyle="1" w:styleId="162">
    <w:name w:val="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63">
    <w:name w:val="view_all_pics"/>
    <w:basedOn w:val="1"/>
    <w:qFormat/>
    <w:uiPriority w:val="0"/>
    <w:pPr>
      <w:widowControl/>
      <w:autoSpaceDE/>
      <w:autoSpaceDN/>
      <w:spacing w:before="100" w:beforeAutospacing="1" w:after="100" w:afterAutospacing="1"/>
    </w:pPr>
    <w:rPr>
      <w:sz w:val="24"/>
      <w:szCs w:val="24"/>
      <w:lang w:eastAsia="zh-CN"/>
    </w:rPr>
  </w:style>
  <w:style w:type="paragraph" w:customStyle="1" w:styleId="164">
    <w:name w:val="p0"/>
    <w:basedOn w:val="1"/>
    <w:qFormat/>
    <w:uiPriority w:val="0"/>
    <w:pPr>
      <w:widowControl/>
      <w:autoSpaceDE/>
      <w:autoSpaceDN/>
    </w:pPr>
    <w:rPr>
      <w:sz w:val="24"/>
      <w:szCs w:val="24"/>
      <w:lang w:eastAsia="zh-CN"/>
    </w:rPr>
  </w:style>
  <w:style w:type="paragraph" w:customStyle="1" w:styleId="165">
    <w:name w:val="字元 字元1"/>
    <w:basedOn w:val="1"/>
    <w:qFormat/>
    <w:uiPriority w:val="0"/>
    <w:pPr>
      <w:autoSpaceDE/>
      <w:autoSpaceDN/>
      <w:adjustRightInd w:val="0"/>
      <w:snapToGrid w:val="0"/>
      <w:spacing w:line="360" w:lineRule="auto"/>
      <w:ind w:left="96" w:leftChars="40" w:firstLine="200" w:firstLineChars="200"/>
    </w:pPr>
    <w:rPr>
      <w:rFonts w:ascii="Times New Roman" w:cs="Times New Roman"/>
      <w:kern w:val="2"/>
      <w:sz w:val="24"/>
      <w:szCs w:val="24"/>
      <w:lang w:eastAsia="zh-CN"/>
    </w:rPr>
  </w:style>
  <w:style w:type="paragraph" w:customStyle="1" w:styleId="166">
    <w:name w:val="样式3"/>
    <w:basedOn w:val="1"/>
    <w:qFormat/>
    <w:uiPriority w:val="0"/>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67">
    <w:name w:val="标题1(3号)"/>
    <w:basedOn w:val="2"/>
    <w:next w:val="119"/>
    <w:qFormat/>
    <w:uiPriority w:val="0"/>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168">
    <w:name w:val="Char"/>
    <w:basedOn w:val="1"/>
    <w:qFormat/>
    <w:uiPriority w:val="0"/>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169">
    <w:name w:val="Char2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0">
    <w:name w:val="附件"/>
    <w:basedOn w:val="1"/>
    <w:qFormat/>
    <w:uiPriority w:val="0"/>
    <w:pPr>
      <w:autoSpaceDE/>
      <w:autoSpaceDN/>
      <w:adjustRightInd w:val="0"/>
      <w:spacing w:before="120" w:after="60"/>
      <w:jc w:val="center"/>
      <w:textAlignment w:val="center"/>
    </w:pPr>
    <w:rPr>
      <w:rFonts w:ascii="黑体" w:hAnsi="Times New Roman" w:eastAsia="黑体" w:cs="Times New Roman"/>
      <w:b/>
      <w:bCs/>
      <w:sz w:val="32"/>
      <w:szCs w:val="32"/>
      <w:lang w:eastAsia="zh-CN"/>
    </w:rPr>
  </w:style>
  <w:style w:type="paragraph" w:customStyle="1" w:styleId="171">
    <w:name w:val="标题1(小3号)"/>
    <w:basedOn w:val="2"/>
    <w:next w:val="150"/>
    <w:qFormat/>
    <w:uiPriority w:val="0"/>
    <w:pPr>
      <w:keepLines/>
      <w:autoSpaceDE/>
      <w:autoSpaceDN/>
      <w:ind w:left="0"/>
      <w:jc w:val="both"/>
    </w:pPr>
    <w:rPr>
      <w:rFonts w:ascii="Arial" w:hAnsi="Arial" w:cs="Times New Roman"/>
      <w:bCs w:val="0"/>
      <w:color w:val="0000FF"/>
      <w:kern w:val="44"/>
      <w:sz w:val="30"/>
      <w:szCs w:val="36"/>
      <w:lang w:eastAsia="zh-CN"/>
    </w:rPr>
  </w:style>
  <w:style w:type="paragraph" w:customStyle="1" w:styleId="172">
    <w:name w:val="标题1(小2号)"/>
    <w:basedOn w:val="2"/>
    <w:next w:val="100"/>
    <w:qFormat/>
    <w:uiPriority w:val="0"/>
    <w:pPr>
      <w:keepLines/>
      <w:autoSpaceDE/>
      <w:autoSpaceDN/>
      <w:ind w:left="0"/>
      <w:jc w:val="both"/>
    </w:pPr>
    <w:rPr>
      <w:rFonts w:ascii="Arial" w:hAnsi="Arial" w:cs="Times New Roman"/>
      <w:bCs w:val="0"/>
      <w:color w:val="0000FF"/>
      <w:kern w:val="44"/>
      <w:sz w:val="36"/>
      <w:szCs w:val="36"/>
      <w:lang w:eastAsia="zh-CN"/>
    </w:rPr>
  </w:style>
  <w:style w:type="paragraph" w:customStyle="1" w:styleId="173">
    <w:name w:val="Char1 Char Char Char"/>
    <w:basedOn w:val="1"/>
    <w:qFormat/>
    <w:uiPriority w:val="0"/>
    <w:pPr>
      <w:autoSpaceDE/>
      <w:autoSpaceDN/>
      <w:jc w:val="both"/>
    </w:pPr>
    <w:rPr>
      <w:rFonts w:ascii="Times New Roman" w:hAnsi="Times New Roman" w:cs="Times New Roman"/>
      <w:kern w:val="2"/>
      <w:sz w:val="21"/>
      <w:szCs w:val="24"/>
      <w:lang w:eastAsia="zh-CN"/>
    </w:rPr>
  </w:style>
  <w:style w:type="paragraph" w:customStyle="1" w:styleId="174">
    <w:name w:val="ml"/>
    <w:basedOn w:val="1"/>
    <w:qFormat/>
    <w:uiPriority w:val="0"/>
    <w:pPr>
      <w:autoSpaceDE/>
      <w:autoSpaceDN/>
      <w:jc w:val="both"/>
    </w:pPr>
    <w:rPr>
      <w:rFonts w:cs="Times New Roman"/>
      <w:b/>
      <w:bCs/>
      <w:kern w:val="2"/>
      <w:sz w:val="28"/>
      <w:szCs w:val="20"/>
      <w:lang w:eastAsia="zh-CN"/>
    </w:rPr>
  </w:style>
  <w:style w:type="paragraph" w:customStyle="1" w:styleId="175">
    <w:name w:val="标题2(3号)"/>
    <w:basedOn w:val="3"/>
    <w:next w:val="100"/>
    <w:qFormat/>
    <w:uiPriority w:val="0"/>
    <w:pPr>
      <w:keepNext/>
      <w:keepLines/>
      <w:widowControl/>
      <w:autoSpaceDE/>
      <w:autoSpaceDN/>
      <w:spacing w:line="360" w:lineRule="auto"/>
      <w:ind w:left="420" w:hanging="420" w:hangingChars="200"/>
      <w:jc w:val="both"/>
    </w:pPr>
    <w:rPr>
      <w:rFonts w:cs="Times New Roman"/>
      <w:b w:val="0"/>
      <w:bCs w:val="0"/>
      <w:color w:val="000000"/>
      <w:sz w:val="32"/>
      <w:szCs w:val="21"/>
      <w:lang w:eastAsia="zh-CN"/>
    </w:rPr>
  </w:style>
  <w:style w:type="paragraph" w:customStyle="1" w:styleId="176">
    <w:name w:val="标题2(小4号)"/>
    <w:basedOn w:val="3"/>
    <w:next w:val="123"/>
    <w:qFormat/>
    <w:uiPriority w:val="0"/>
    <w:pPr>
      <w:keepNext/>
      <w:keepLines/>
      <w:widowControl/>
      <w:autoSpaceDE/>
      <w:autoSpaceDN/>
      <w:spacing w:line="360" w:lineRule="auto"/>
      <w:ind w:left="420" w:hanging="420" w:hangingChars="200"/>
      <w:jc w:val="both"/>
    </w:pPr>
    <w:rPr>
      <w:rFonts w:cs="Times New Roman"/>
      <w:b w:val="0"/>
      <w:bCs w:val="0"/>
      <w:color w:val="0000FF"/>
      <w:sz w:val="21"/>
      <w:szCs w:val="21"/>
      <w:lang w:eastAsia="zh-CN"/>
    </w:rPr>
  </w:style>
  <w:style w:type="paragraph" w:customStyle="1" w:styleId="177">
    <w:name w:val="标题4"/>
    <w:basedOn w:val="5"/>
    <w:qFormat/>
    <w:uiPriority w:val="0"/>
    <w:pPr>
      <w:keepLines w:val="0"/>
      <w:numPr>
        <w:ilvl w:val="3"/>
        <w:numId w:val="3"/>
      </w:numPr>
      <w:tabs>
        <w:tab w:val="left" w:pos="1680"/>
      </w:tabs>
      <w:adjustRightInd w:val="0"/>
      <w:spacing w:line="360" w:lineRule="auto"/>
      <w:ind w:left="1680" w:hanging="420"/>
      <w:textAlignment w:val="baseline"/>
    </w:pPr>
    <w:rPr>
      <w:rFonts w:ascii="Arial" w:hAnsi="Arial"/>
      <w:b w:val="0"/>
      <w:kern w:val="0"/>
    </w:rPr>
  </w:style>
  <w:style w:type="paragraph" w:customStyle="1" w:styleId="178">
    <w:name w:val="Char Char"/>
    <w:basedOn w:val="1"/>
    <w:qFormat/>
    <w:uiPriority w:val="0"/>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179">
    <w:name w:val="Char Char Char Char Char Char"/>
    <w:basedOn w:val="1"/>
    <w:qFormat/>
    <w:uiPriority w:val="0"/>
    <w:pPr>
      <w:autoSpaceDE/>
      <w:autoSpaceDN/>
      <w:jc w:val="both"/>
    </w:pPr>
    <w:rPr>
      <w:rFonts w:ascii="Times New Roman" w:hAnsi="Times New Roman" w:cs="Times New Roman"/>
      <w:kern w:val="2"/>
      <w:sz w:val="21"/>
      <w:szCs w:val="21"/>
      <w:lang w:eastAsia="zh-CN"/>
    </w:rPr>
  </w:style>
  <w:style w:type="paragraph" w:customStyle="1" w:styleId="180">
    <w:name w:val="大纲1"/>
    <w:basedOn w:val="1"/>
    <w:qFormat/>
    <w:uiPriority w:val="0"/>
    <w:pPr>
      <w:numPr>
        <w:ilvl w:val="0"/>
        <w:numId w:val="6"/>
      </w:numPr>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181">
    <w:name w:val="大纲2"/>
    <w:basedOn w:val="1"/>
    <w:qFormat/>
    <w:uiPriority w:val="0"/>
    <w:pPr>
      <w:numPr>
        <w:ilvl w:val="1"/>
        <w:numId w:val="6"/>
      </w:numPr>
      <w:tabs>
        <w:tab w:val="left" w:pos="0"/>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182">
    <w:name w:val="大纲3"/>
    <w:basedOn w:val="1"/>
    <w:qFormat/>
    <w:uiPriority w:val="0"/>
    <w:pPr>
      <w:numPr>
        <w:ilvl w:val="2"/>
        <w:numId w:val="6"/>
      </w:numPr>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183">
    <w:name w:val="大纲4"/>
    <w:basedOn w:val="182"/>
    <w:qFormat/>
    <w:uiPriority w:val="0"/>
    <w:pPr>
      <w:numPr>
        <w:ilvl w:val="3"/>
      </w:numPr>
      <w:outlineLvl w:val="3"/>
    </w:pPr>
  </w:style>
  <w:style w:type="paragraph" w:customStyle="1" w:styleId="184">
    <w:name w:val="大纲5"/>
    <w:basedOn w:val="183"/>
    <w:qFormat/>
    <w:uiPriority w:val="0"/>
    <w:pPr>
      <w:numPr>
        <w:ilvl w:val="4"/>
      </w:numPr>
      <w:tabs>
        <w:tab w:val="left" w:pos="360"/>
      </w:tabs>
      <w:outlineLvl w:val="4"/>
    </w:pPr>
    <w:rPr>
      <w:b w:val="0"/>
      <w:szCs w:val="36"/>
    </w:rPr>
  </w:style>
  <w:style w:type="paragraph" w:customStyle="1" w:styleId="185">
    <w:name w:val="大纲6"/>
    <w:basedOn w:val="184"/>
    <w:qFormat/>
    <w:uiPriority w:val="0"/>
    <w:pPr>
      <w:numPr>
        <w:ilvl w:val="5"/>
      </w:numPr>
      <w:outlineLvl w:val="5"/>
    </w:pPr>
    <w:rPr>
      <w:rFonts w:ascii="宋体"/>
      <w:szCs w:val="24"/>
    </w:rPr>
  </w:style>
  <w:style w:type="paragraph" w:customStyle="1" w:styleId="186">
    <w:name w:val="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7">
    <w:name w:val="Char Char Char 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88">
    <w:name w:val="字元 字元11"/>
    <w:basedOn w:val="1"/>
    <w:qFormat/>
    <w:uiPriority w:val="0"/>
    <w:pPr>
      <w:autoSpaceDE/>
      <w:autoSpaceDN/>
      <w:adjustRightInd w:val="0"/>
      <w:snapToGrid w:val="0"/>
      <w:spacing w:line="360" w:lineRule="auto"/>
      <w:ind w:left="96" w:leftChars="40" w:firstLine="200" w:firstLineChars="200"/>
    </w:pPr>
    <w:rPr>
      <w:rFonts w:ascii="Calibri" w:cs="Times New Roman"/>
      <w:kern w:val="2"/>
      <w:sz w:val="24"/>
      <w:szCs w:val="24"/>
      <w:lang w:eastAsia="zh-CN"/>
    </w:rPr>
  </w:style>
  <w:style w:type="paragraph" w:customStyle="1" w:styleId="189">
    <w:name w:val="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0">
    <w:name w:val="Char Char Char Char Char Char Char Char Char Char Char2"/>
    <w:basedOn w:val="1"/>
    <w:qFormat/>
    <w:uiPriority w:val="0"/>
    <w:pPr>
      <w:autoSpaceDE/>
      <w:autoSpaceDN/>
      <w:jc w:val="both"/>
    </w:pPr>
    <w:rPr>
      <w:rFonts w:ascii="Calibri" w:hAnsi="Calibri" w:cs="Times New Roman"/>
      <w:kern w:val="2"/>
      <w:sz w:val="21"/>
      <w:szCs w:val="24"/>
      <w:lang w:eastAsia="zh-CN"/>
    </w:rPr>
  </w:style>
  <w:style w:type="paragraph" w:customStyle="1" w:styleId="191">
    <w:name w:val="正文3"/>
    <w:qFormat/>
    <w:uiPriority w:val="0"/>
    <w:pPr>
      <w:widowControl w:val="0"/>
      <w:autoSpaceDE w:val="0"/>
      <w:autoSpaceDN w:val="0"/>
      <w:adjustRightInd w:val="0"/>
      <w:spacing w:line="360" w:lineRule="atLeast"/>
      <w:ind w:left="425" w:hanging="425"/>
      <w:textAlignment w:val="bottom"/>
    </w:pPr>
    <w:rPr>
      <w:rFonts w:ascii="宋体" w:hAnsi="Calibri" w:eastAsia="宋体" w:cs="Times New Roman"/>
      <w:position w:val="-6"/>
      <w:sz w:val="32"/>
      <w:lang w:val="en-US" w:eastAsia="zh-CN" w:bidi="ar-SA"/>
    </w:rPr>
  </w:style>
  <w:style w:type="paragraph" w:customStyle="1" w:styleId="192">
    <w:name w:val="Char2"/>
    <w:basedOn w:val="1"/>
    <w:qFormat/>
    <w:uiPriority w:val="0"/>
    <w:pPr>
      <w:autoSpaceDE/>
      <w:autoSpaceDN/>
      <w:adjustRightInd w:val="0"/>
      <w:spacing w:line="360" w:lineRule="auto"/>
      <w:jc w:val="both"/>
    </w:pPr>
    <w:rPr>
      <w:rFonts w:ascii="Calibri" w:hAnsi="Calibri" w:cs="Times New Roman"/>
      <w:sz w:val="24"/>
      <w:szCs w:val="20"/>
      <w:lang w:eastAsia="zh-CN"/>
    </w:rPr>
  </w:style>
  <w:style w:type="paragraph" w:customStyle="1" w:styleId="193">
    <w:name w:val="Char Char Char Char Char 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4">
    <w:name w:val="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5">
    <w:name w:val="Char Char Char Char Char Char Char Char Char Char Char1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6">
    <w:name w:val="Char12"/>
    <w:basedOn w:val="1"/>
    <w:qFormat/>
    <w:uiPriority w:val="0"/>
    <w:pPr>
      <w:autoSpaceDE/>
      <w:autoSpaceDN/>
      <w:jc w:val="both"/>
    </w:pPr>
    <w:rPr>
      <w:rFonts w:ascii="Calibri" w:hAnsi="Calibri" w:cs="Times New Roman"/>
      <w:kern w:val="2"/>
      <w:sz w:val="21"/>
      <w:szCs w:val="24"/>
      <w:lang w:eastAsia="zh-CN"/>
    </w:rPr>
  </w:style>
  <w:style w:type="paragraph" w:customStyle="1" w:styleId="197">
    <w:name w:val="Char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198">
    <w:name w:val="Char Char Char Char Char Char Char Char Char Char Char11"/>
    <w:basedOn w:val="1"/>
    <w:qFormat/>
    <w:uiPriority w:val="0"/>
    <w:pPr>
      <w:autoSpaceDE/>
      <w:autoSpaceDN/>
      <w:jc w:val="both"/>
    </w:pPr>
    <w:rPr>
      <w:rFonts w:ascii="Calibri" w:hAnsi="Calibri" w:cs="Times New Roman"/>
      <w:kern w:val="2"/>
      <w:sz w:val="21"/>
      <w:szCs w:val="24"/>
      <w:lang w:eastAsia="zh-CN"/>
    </w:rPr>
  </w:style>
  <w:style w:type="paragraph" w:customStyle="1" w:styleId="199">
    <w:name w:val="Char2 Char Char Char1"/>
    <w:basedOn w:val="1"/>
    <w:qFormat/>
    <w:uiPriority w:val="0"/>
    <w:pPr>
      <w:autoSpaceDE/>
      <w:autoSpaceDN/>
      <w:jc w:val="both"/>
    </w:pPr>
    <w:rPr>
      <w:rFonts w:ascii="Calibri" w:hAnsi="Calibri" w:cs="Times New Roman"/>
      <w:kern w:val="2"/>
      <w:sz w:val="21"/>
      <w:szCs w:val="24"/>
      <w:lang w:eastAsia="zh-CN"/>
    </w:rPr>
  </w:style>
  <w:style w:type="paragraph" w:customStyle="1" w:styleId="200">
    <w:name w:val="正文文本 21"/>
    <w:basedOn w:val="1"/>
    <w:qFormat/>
    <w:uiPriority w:val="0"/>
    <w:pPr>
      <w:autoSpaceDE/>
      <w:autoSpaceDN/>
      <w:adjustRightInd w:val="0"/>
      <w:spacing w:line="360" w:lineRule="auto"/>
      <w:ind w:left="180"/>
      <w:jc w:val="both"/>
      <w:textAlignment w:val="baseline"/>
    </w:pPr>
    <w:rPr>
      <w:rFonts w:ascii="楷体" w:hAnsi="Times New Roman" w:eastAsia="楷体" w:cs="Times New Roman"/>
      <w:kern w:val="2"/>
      <w:sz w:val="24"/>
      <w:szCs w:val="20"/>
      <w:lang w:eastAsia="zh-CN"/>
    </w:rPr>
  </w:style>
  <w:style w:type="character" w:customStyle="1" w:styleId="201">
    <w:name w:val="正文1 Char"/>
    <w:basedOn w:val="48"/>
    <w:link w:val="54"/>
    <w:qFormat/>
    <w:locked/>
    <w:uiPriority w:val="0"/>
    <w:rPr>
      <w:rFonts w:ascii="宋体" w:hAnsi="Calibri"/>
      <w:sz w:val="34"/>
      <w:szCs w:val="22"/>
    </w:rPr>
  </w:style>
  <w:style w:type="character" w:customStyle="1" w:styleId="202">
    <w:name w:val="font21"/>
    <w:qFormat/>
    <w:uiPriority w:val="0"/>
    <w:rPr>
      <w:rFonts w:hint="eastAsia" w:ascii="宋体" w:hAnsi="宋体" w:eastAsia="宋体" w:cs="宋体"/>
      <w:color w:val="000000"/>
      <w:sz w:val="20"/>
      <w:szCs w:val="20"/>
      <w:u w:val="none"/>
    </w:rPr>
  </w:style>
  <w:style w:type="character" w:customStyle="1" w:styleId="203">
    <w:name w:val="正文首行缩进 2 Char"/>
    <w:basedOn w:val="89"/>
    <w:link w:val="45"/>
    <w:qFormat/>
    <w:uiPriority w:val="0"/>
    <w:rPr>
      <w:rFonts w:ascii="宋体" w:hAnsi="宋体" w:cs="宋体"/>
      <w:i w:val="0"/>
      <w:iCs w:val="0"/>
      <w:kern w:val="2"/>
      <w:sz w:val="22"/>
      <w:szCs w:val="22"/>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9F65DA-2360-4365-9A71-57F6420FA68A}">
  <ds:schemaRefs/>
</ds:datastoreItem>
</file>

<file path=docProps/app.xml><?xml version="1.0" encoding="utf-8"?>
<Properties xmlns="http://schemas.openxmlformats.org/officeDocument/2006/extended-properties" xmlns:vt="http://schemas.openxmlformats.org/officeDocument/2006/docPropsVTypes">
  <Template>Normal</Template>
  <Company>福化环保</Company>
  <Pages>37</Pages>
  <Words>67</Words>
  <Characters>83</Characters>
  <Lines>195</Lines>
  <Paragraphs>54</Paragraphs>
  <TotalTime>19</TotalTime>
  <ScaleCrop>false</ScaleCrop>
  <LinksUpToDate>false</LinksUpToDate>
  <CharactersWithSpaces>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2023-10-17T01:35:00Z</dcterms:created>
  <dc:creator>CGC</dc:creator>
  <cp:lastModifiedBy>mqhuang</cp:lastModifiedBy>
  <dcterms:modified xsi:type="dcterms:W3CDTF">2026-11-05T08:37:34Z</dcterms:modified>
  <dc:title>公开招标文件（货物服务类）</dc:title>
  <cp:revision>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2019-01-28T00:00:00Z</vt:filetime>
  </property>
  <property fmtid="{D5CDD505-2E9C-101B-9397-08002B2CF9AE}" pid="3" name="Creator">
    <vt:lpwstr>WPS 文字</vt:lpwstr>
  </property>
  <property fmtid="{D5CDD505-2E9C-101B-9397-08002B2CF9AE}" pid="4" name="LastSaved">
    <vt:filetime>2019-01-30T00:00:00Z</vt:filetime>
  </property>
  <property fmtid="{D5CDD505-2E9C-101B-9397-08002B2CF9AE}" pid="5" name="KSOProductBuildVer">
    <vt:lpwstr>2052-12.1.0.29161</vt:lpwstr>
  </property>
  <property fmtid="{D5CDD505-2E9C-101B-9397-08002B2CF9AE}" pid="6" name="KSOTemplateDocerSaveRecord">
    <vt:lpwstr>eyJoZGlkIjoiNTY1NGEwYmNkYmRjMWNmMjE0NWZlMjMzZjJmZDM4MjEiLCJ1c2VySWQiOiI5ODEyNzgwOTAifQ==</vt:lpwstr>
  </property>
  <property fmtid="{D5CDD505-2E9C-101B-9397-08002B2CF9AE}" pid="7" name="ICV">
    <vt:lpwstr>E6B977B2ED2049B69285E5D424E92A4C_12</vt:lpwstr>
  </property>
</Properties>
</file>