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EA2B7A">
      <w:pPr>
        <w:spacing w:line="400" w:lineRule="exact"/>
        <w:jc w:val="center"/>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福建福海创石油化工有限公司</w:t>
      </w:r>
    </w:p>
    <w:p w14:paraId="04EB792A">
      <w:pPr>
        <w:spacing w:line="400" w:lineRule="exact"/>
        <w:jc w:val="center"/>
        <w:rPr>
          <w:rFonts w:eastAsia="黑体"/>
          <w:b/>
          <w:color w:val="000000" w:themeColor="text1"/>
          <w:sz w:val="32"/>
          <w:szCs w:val="32"/>
          <w14:textFill>
            <w14:solidFill>
              <w14:schemeClr w14:val="tx1"/>
            </w14:solidFill>
          </w14:textFill>
        </w:rPr>
      </w:pPr>
      <w:r>
        <w:rPr>
          <w:rFonts w:hint="eastAsia" w:eastAsia="黑体"/>
          <w:b/>
          <w:color w:val="000000" w:themeColor="text1"/>
          <w:sz w:val="32"/>
          <w:szCs w:val="32"/>
          <w14:textFill>
            <w14:solidFill>
              <w14:schemeClr w14:val="tx1"/>
            </w14:solidFill>
          </w14:textFill>
        </w:rPr>
        <w:t>P</w:t>
      </w:r>
      <w:r>
        <w:rPr>
          <w:rFonts w:eastAsia="黑体"/>
          <w:b/>
          <w:color w:val="000000" w:themeColor="text1"/>
          <w:sz w:val="32"/>
          <w:szCs w:val="32"/>
          <w14:textFill>
            <w14:solidFill>
              <w14:schemeClr w14:val="tx1"/>
            </w14:solidFill>
          </w14:textFill>
        </w:rPr>
        <w:t>TA</w:t>
      </w:r>
      <w:r>
        <w:rPr>
          <w:rFonts w:hint="eastAsia" w:eastAsia="黑体"/>
          <w:b/>
          <w:color w:val="000000" w:themeColor="text1"/>
          <w:sz w:val="32"/>
          <w:szCs w:val="32"/>
          <w14:textFill>
            <w14:solidFill>
              <w14:schemeClr w14:val="tx1"/>
            </w14:solidFill>
          </w14:textFill>
        </w:rPr>
        <w:t>装置先进控制项目招标技术标准和要求</w:t>
      </w:r>
    </w:p>
    <w:p w14:paraId="5893E845">
      <w:pPr>
        <w:spacing w:line="360" w:lineRule="auto"/>
        <w:ind w:firstLine="358" w:firstLineChars="170"/>
        <w:rPr>
          <w:b/>
          <w:color w:val="000000" w:themeColor="text1"/>
          <w14:textFill>
            <w14:solidFill>
              <w14:schemeClr w14:val="tx1"/>
            </w14:solidFill>
          </w14:textFill>
        </w:rPr>
      </w:pPr>
    </w:p>
    <w:p w14:paraId="3D4278C2">
      <w:pPr>
        <w:spacing w:line="312" w:lineRule="auto"/>
        <w:ind w:firstLine="358" w:firstLineChars="170"/>
        <w:rPr>
          <w:b/>
          <w:color w:val="000000" w:themeColor="text1"/>
          <w14:textFill>
            <w14:solidFill>
              <w14:schemeClr w14:val="tx1"/>
            </w14:solidFill>
          </w14:textFill>
        </w:rPr>
      </w:pPr>
      <w:r>
        <w:rPr>
          <w:rFonts w:hint="eastAsia"/>
          <w:b/>
          <w:color w:val="000000" w:themeColor="text1"/>
          <w14:textFill>
            <w14:solidFill>
              <w14:schemeClr w14:val="tx1"/>
            </w14:solidFill>
          </w14:textFill>
        </w:rPr>
        <w:t>1.项目说明</w:t>
      </w:r>
    </w:p>
    <w:p w14:paraId="3A1F6E36">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项目名称：福建福海创石油化工有限公司</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装置先进控制（APC）软件包和工程服务招标。</w:t>
      </w:r>
    </w:p>
    <w:p w14:paraId="62D3EF3F">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服务内容：</w:t>
      </w:r>
    </w:p>
    <w:p w14:paraId="778E37B9">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⑴福建福海创石油化工有限公司</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装置先进控制（APC）软件包和工程服务招标：</w:t>
      </w:r>
    </w:p>
    <w:p w14:paraId="25FCAD5E">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福建福海创石油化工有限公司</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装置先进控制（APC）软件包和工程服务招标的先进控制软件；</w:t>
      </w:r>
    </w:p>
    <w:p w14:paraId="6993BE0C">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提供</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装置先进控制（APC）软件包和工程服务招标的先进控制系统和现场实施，负责用户培训，提供售后服务；</w:t>
      </w:r>
    </w:p>
    <w:p w14:paraId="63EEB676">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本项目费用包含软件和工程服务费用（包含满足A</w:t>
      </w:r>
      <w:r>
        <w:rPr>
          <w:color w:val="000000" w:themeColor="text1"/>
          <w14:textFill>
            <w14:solidFill>
              <w14:schemeClr w14:val="tx1"/>
            </w14:solidFill>
          </w14:textFill>
        </w:rPr>
        <w:t>PC</w:t>
      </w:r>
      <w:r>
        <w:rPr>
          <w:rFonts w:hint="eastAsia"/>
          <w:color w:val="000000" w:themeColor="text1"/>
          <w14:textFill>
            <w14:solidFill>
              <w14:schemeClr w14:val="tx1"/>
            </w14:solidFill>
          </w14:textFill>
        </w:rPr>
        <w:t>系统上线的一切费用）。</w:t>
      </w:r>
    </w:p>
    <w:p w14:paraId="57DAC07B">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⑵项目目标：</w:t>
      </w:r>
    </w:p>
    <w:p w14:paraId="32512EAD">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平稳操作，减少产品质量波动，主要运行参数标准偏差降低</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以上；</w:t>
      </w:r>
    </w:p>
    <w:p w14:paraId="6F7862B0">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保证产品质量，实现氧化产品4</w:t>
      </w:r>
      <w:r>
        <w:rPr>
          <w:color w:val="000000" w:themeColor="text1"/>
          <w14:textFill>
            <w14:solidFill>
              <w14:schemeClr w14:val="tx1"/>
            </w14:solidFill>
          </w14:textFill>
        </w:rPr>
        <w:t>-CBA</w:t>
      </w:r>
      <w:r>
        <w:rPr>
          <w:rFonts w:hint="eastAsia"/>
          <w:color w:val="000000" w:themeColor="text1"/>
          <w14:textFill>
            <w14:solidFill>
              <w14:schemeClr w14:val="tx1"/>
            </w14:solidFill>
          </w14:textFill>
        </w:rPr>
        <w:t>质量在线预测；</w:t>
      </w:r>
    </w:p>
    <w:p w14:paraId="786EE17C">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提高系统应用水平，保证系统上线及维保期内</w:t>
      </w:r>
      <w:r>
        <w:rPr>
          <w:color w:val="000000" w:themeColor="text1"/>
          <w14:textFill>
            <w14:solidFill>
              <w14:schemeClr w14:val="tx1"/>
            </w14:solidFill>
          </w14:textFill>
        </w:rPr>
        <w:t>95%</w:t>
      </w:r>
      <w:r>
        <w:rPr>
          <w:rFonts w:hint="eastAsia"/>
          <w:color w:val="000000" w:themeColor="text1"/>
          <w14:textFill>
            <w14:solidFill>
              <w14:schemeClr w14:val="tx1"/>
            </w14:solidFill>
          </w14:textFill>
        </w:rPr>
        <w:t>投用；</w:t>
      </w:r>
    </w:p>
    <w:p w14:paraId="50CD5373">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方便操作和实时指导生产，降低操作人员劳动强度；</w:t>
      </w:r>
    </w:p>
    <w:p w14:paraId="700730ED">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提高装置自控投用率，实现生产自动化；</w:t>
      </w:r>
    </w:p>
    <w:p w14:paraId="5EECDF3E">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加深操作人员对过程动态特性的理解，提高了整体操作水平；</w:t>
      </w:r>
    </w:p>
    <w:p w14:paraId="437652B4">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促进科学技术进步，促进生产管理精细化。</w:t>
      </w:r>
    </w:p>
    <w:p w14:paraId="12D9D0D0">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系统上线后，在P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装置基本相同的工况下，降低</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装置醋酸单耗0.2kg/t PTA、对二甲苯单耗0.1kg/t PTA及以上。</w:t>
      </w:r>
    </w:p>
    <w:p w14:paraId="26D7E542">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⑶项目范围</w:t>
      </w:r>
    </w:p>
    <w:p w14:paraId="4382EA2C">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本招标项目的项目范围如下表所示。</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304"/>
        <w:gridCol w:w="3118"/>
        <w:gridCol w:w="2835"/>
      </w:tblGrid>
      <w:tr w14:paraId="5F3E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vAlign w:val="center"/>
          </w:tcPr>
          <w:p w14:paraId="105E619E">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序号</w:t>
            </w:r>
          </w:p>
        </w:tc>
        <w:tc>
          <w:tcPr>
            <w:tcW w:w="1304" w:type="dxa"/>
            <w:vAlign w:val="center"/>
          </w:tcPr>
          <w:p w14:paraId="0FD3B6C1">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地区公司</w:t>
            </w:r>
          </w:p>
        </w:tc>
        <w:tc>
          <w:tcPr>
            <w:tcW w:w="3118" w:type="dxa"/>
            <w:vAlign w:val="center"/>
          </w:tcPr>
          <w:p w14:paraId="4816C11C">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装置名称</w:t>
            </w:r>
          </w:p>
        </w:tc>
        <w:tc>
          <w:tcPr>
            <w:tcW w:w="2835" w:type="dxa"/>
            <w:vAlign w:val="center"/>
          </w:tcPr>
          <w:p w14:paraId="2BFB3573">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功能范围</w:t>
            </w:r>
          </w:p>
        </w:tc>
      </w:tr>
      <w:tr w14:paraId="673FC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8" w:type="dxa"/>
            <w:vAlign w:val="center"/>
          </w:tcPr>
          <w:p w14:paraId="7534A114">
            <w:pPr>
              <w:jc w:val="center"/>
              <w:rPr>
                <w:color w:val="000000" w:themeColor="text1"/>
                <w:sz w:val="20"/>
                <w:szCs w:val="21"/>
                <w14:textFill>
                  <w14:solidFill>
                    <w14:schemeClr w14:val="tx1"/>
                  </w14:solidFill>
                </w14:textFill>
              </w:rPr>
            </w:pPr>
            <w:r>
              <w:rPr>
                <w:rFonts w:hint="eastAsia"/>
                <w:color w:val="000000" w:themeColor="text1"/>
                <w:sz w:val="20"/>
                <w:szCs w:val="21"/>
                <w14:textFill>
                  <w14:solidFill>
                    <w14:schemeClr w14:val="tx1"/>
                  </w14:solidFill>
                </w14:textFill>
              </w:rPr>
              <w:t>1</w:t>
            </w:r>
          </w:p>
        </w:tc>
        <w:tc>
          <w:tcPr>
            <w:tcW w:w="1304" w:type="dxa"/>
            <w:vAlign w:val="center"/>
          </w:tcPr>
          <w:p w14:paraId="7F146250">
            <w:pPr>
              <w:jc w:val="center"/>
              <w:rPr>
                <w:color w:val="000000" w:themeColor="text1"/>
                <w:sz w:val="20"/>
                <w:szCs w:val="21"/>
                <w14:textFill>
                  <w14:solidFill>
                    <w14:schemeClr w14:val="tx1"/>
                  </w14:solidFill>
                </w14:textFill>
              </w:rPr>
            </w:pPr>
            <w:r>
              <w:rPr>
                <w:rFonts w:hint="eastAsia"/>
                <w:color w:val="000000" w:themeColor="text1"/>
                <w:sz w:val="20"/>
                <w:szCs w:val="21"/>
                <w14:textFill>
                  <w14:solidFill>
                    <w14:schemeClr w14:val="tx1"/>
                  </w14:solidFill>
                </w14:textFill>
              </w:rPr>
              <w:t>福海创</w:t>
            </w:r>
          </w:p>
        </w:tc>
        <w:tc>
          <w:tcPr>
            <w:tcW w:w="3118" w:type="dxa"/>
            <w:vAlign w:val="center"/>
          </w:tcPr>
          <w:p w14:paraId="4C0CA68D">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450万吨/年PTA装置</w:t>
            </w:r>
          </w:p>
        </w:tc>
        <w:tc>
          <w:tcPr>
            <w:tcW w:w="2835" w:type="dxa"/>
            <w:vAlign w:val="center"/>
          </w:tcPr>
          <w:p w14:paraId="1C5E4312">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先进控制系统</w:t>
            </w:r>
          </w:p>
        </w:tc>
      </w:tr>
    </w:tbl>
    <w:p w14:paraId="57987BE9">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招标范围：提供适合福建福海创石油化工有限公司</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装置的先进控制软件，及配套的软、硬件；提供以上装置的先进控制系统和现场实施，负责用户培训，提供售后服务等。</w:t>
      </w:r>
    </w:p>
    <w:p w14:paraId="367A57DA">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技术标准：投标人需按照合同要求，提供相应的先进控制软件包，并完成相关装置的先进控制系统建模和系统上线运行，所提供的软件和服务以通过福建福海创石油化工有限公司组织的企业验收为标准。 </w:t>
      </w:r>
    </w:p>
    <w:p w14:paraId="0E89115A">
      <w:pPr>
        <w:spacing w:line="312" w:lineRule="auto"/>
        <w:ind w:firstLine="358" w:firstLineChars="170"/>
        <w:rPr>
          <w:b/>
          <w:color w:val="000000" w:themeColor="text1"/>
          <w14:textFill>
            <w14:solidFill>
              <w14:schemeClr w14:val="tx1"/>
            </w14:solidFill>
          </w14:textFill>
        </w:rPr>
      </w:pP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.项目进度要求</w:t>
      </w:r>
    </w:p>
    <w:p w14:paraId="3B6B644A">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本招标项目的交货地点为福建福海创石油化工有限公司，中标人须负责提供本项目配套的先进控制软件件；负责提供</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装置的先进控制系统和现场实施，负责用户培训，提供售后服务等。</w:t>
      </w:r>
    </w:p>
    <w:p w14:paraId="71E583D8">
      <w:pPr>
        <w:tabs>
          <w:tab w:val="left" w:pos="709"/>
        </w:tabs>
        <w:spacing w:line="360" w:lineRule="auto"/>
        <w:ind w:firstLine="420" w:firstLineChars="20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①合同生效之日起3个月内，完成软件交付（含系统软件及OPC等正式授权），并完成服务器等硬件设施安装，及完成DCS功能组态的初步设计与系统安装。</w:t>
      </w:r>
    </w:p>
    <w:p w14:paraId="788D95C9">
      <w:pPr>
        <w:tabs>
          <w:tab w:val="left" w:pos="709"/>
        </w:tabs>
        <w:spacing w:line="360" w:lineRule="auto"/>
        <w:ind w:firstLine="420" w:firstLineChars="200"/>
        <w:rPr>
          <w:rFonts w:hint="eastAsia"/>
          <w:color w:val="000000" w:themeColor="text1"/>
          <w14:textFill>
            <w14:solidFill>
              <w14:schemeClr w14:val="tx1"/>
            </w14:solidFill>
          </w14:textFill>
        </w:rPr>
      </w:pPr>
      <w:r>
        <w:rPr>
          <w:rFonts w:hint="eastAsia"/>
          <w:color w:val="000000" w:themeColor="text1"/>
          <w:lang w:eastAsia="zh-CN"/>
          <w14:textFill>
            <w14:solidFill>
              <w14:schemeClr w14:val="tx1"/>
            </w14:solidFill>
          </w14:textFill>
        </w:rPr>
        <w:t>②合同生效之日起12个月内，完成实时先进控制系统的全部实施、联调与上线投运。</w:t>
      </w:r>
      <w:bookmarkStart w:id="35" w:name="_GoBack"/>
      <w:bookmarkEnd w:id="35"/>
    </w:p>
    <w:p w14:paraId="0CDF7C0A">
      <w:pPr>
        <w:spacing w:line="312" w:lineRule="auto"/>
        <w:ind w:firstLine="358" w:firstLineChars="170"/>
        <w:rPr>
          <w:b/>
          <w:color w:val="000000" w:themeColor="text1"/>
          <w14:textFill>
            <w14:solidFill>
              <w14:schemeClr w14:val="tx1"/>
            </w14:solidFill>
          </w14:textFill>
        </w:rPr>
      </w:pPr>
      <w:r>
        <w:rPr>
          <w:b/>
          <w:color w:val="000000" w:themeColor="text1"/>
          <w14:textFill>
            <w14:solidFill>
              <w14:schemeClr w14:val="tx1"/>
            </w14:solidFill>
          </w14:textFill>
        </w:rPr>
        <w:t>3. HSE</w:t>
      </w:r>
      <w:r>
        <w:rPr>
          <w:rFonts w:hint="eastAsia"/>
          <w:b/>
          <w:color w:val="000000" w:themeColor="text1"/>
          <w14:textFill>
            <w14:solidFill>
              <w14:schemeClr w14:val="tx1"/>
            </w14:solidFill>
          </w14:textFill>
        </w:rPr>
        <w:t>要求</w:t>
      </w:r>
    </w:p>
    <w:p w14:paraId="1EC4E231">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按照福建福海创石油化工有限公司</w:t>
      </w:r>
      <w:r>
        <w:rPr>
          <w:color w:val="000000" w:themeColor="text1"/>
          <w14:textFill>
            <w14:solidFill>
              <w14:schemeClr w14:val="tx1"/>
            </w14:solidFill>
          </w14:textFill>
        </w:rPr>
        <w:t>HSE</w:t>
      </w:r>
      <w:r>
        <w:rPr>
          <w:rFonts w:hint="eastAsia"/>
          <w:color w:val="000000" w:themeColor="text1"/>
          <w14:textFill>
            <w14:solidFill>
              <w14:schemeClr w14:val="tx1"/>
            </w14:solidFill>
          </w14:textFill>
        </w:rPr>
        <w:t>具体要求执行。</w:t>
      </w:r>
    </w:p>
    <w:p w14:paraId="26A7FFAD">
      <w:pPr>
        <w:spacing w:line="312" w:lineRule="auto"/>
        <w:ind w:firstLine="358" w:firstLineChars="170"/>
        <w:rPr>
          <w:b/>
          <w:color w:val="000000" w:themeColor="text1"/>
          <w14:textFill>
            <w14:solidFill>
              <w14:schemeClr w14:val="tx1"/>
            </w14:solidFill>
          </w14:textFill>
        </w:rPr>
      </w:pPr>
      <w:r>
        <w:rPr>
          <w:b/>
          <w:color w:val="000000" w:themeColor="text1"/>
          <w14:textFill>
            <w14:solidFill>
              <w14:schemeClr w14:val="tx1"/>
            </w14:solidFill>
          </w14:textFill>
        </w:rPr>
        <w:t xml:space="preserve">4. </w:t>
      </w:r>
      <w:r>
        <w:rPr>
          <w:rFonts w:hint="eastAsia"/>
          <w:b/>
          <w:color w:val="000000" w:themeColor="text1"/>
          <w14:textFill>
            <w14:solidFill>
              <w14:schemeClr w14:val="tx1"/>
            </w14:solidFill>
          </w14:textFill>
        </w:rPr>
        <w:t>投标业绩要求</w:t>
      </w:r>
    </w:p>
    <w:p w14:paraId="16085B01">
      <w:pPr>
        <w:spacing w:line="312" w:lineRule="auto"/>
        <w:ind w:firstLine="357" w:firstLineChars="170"/>
        <w:rPr>
          <w:color w:val="000000" w:themeColor="text1"/>
          <w14:textFill>
            <w14:solidFill>
              <w14:schemeClr w14:val="tx1"/>
            </w14:solidFill>
          </w14:textFill>
        </w:rPr>
      </w:pPr>
      <w:r>
        <w:rPr>
          <w:rFonts w:hint="eastAsia"/>
          <w:color w:val="000000" w:themeColor="text1"/>
          <w14:textFill>
            <w14:solidFill>
              <w14:schemeClr w14:val="tx1"/>
            </w14:solidFill>
          </w14:textFill>
        </w:rPr>
        <w:t>投标方所提供的软件需要成熟可靠。需同时提供近5年</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套石化企业APC先进控制系统的业绩证明。</w:t>
      </w:r>
    </w:p>
    <w:p w14:paraId="5997EFF5">
      <w:pPr>
        <w:spacing w:line="312" w:lineRule="auto"/>
        <w:ind w:firstLine="358" w:firstLineChars="170"/>
        <w:rPr>
          <w:b/>
          <w:color w:val="000000" w:themeColor="text1"/>
          <w14:textFill>
            <w14:solidFill>
              <w14:schemeClr w14:val="tx1"/>
            </w14:solidFill>
          </w14:textFill>
        </w:rPr>
      </w:pPr>
      <w:r>
        <w:rPr>
          <w:rFonts w:hint="eastAsia"/>
          <w:b/>
          <w:color w:val="000000" w:themeColor="text1"/>
          <w14:textFill>
            <w14:solidFill>
              <w14:schemeClr w14:val="tx1"/>
            </w14:solidFill>
          </w14:textFill>
        </w:rPr>
        <w:t>5主要技术要求或技术方案</w:t>
      </w:r>
    </w:p>
    <w:p w14:paraId="2C8B644C">
      <w:pPr>
        <w:spacing w:line="312" w:lineRule="auto"/>
        <w:ind w:left="357"/>
        <w:rPr>
          <w:b/>
          <w:bCs/>
          <w:color w:val="000000" w:themeColor="text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.1技术要求先进控制软件平台技术规格表</w:t>
      </w:r>
    </w:p>
    <w:tbl>
      <w:tblPr>
        <w:tblStyle w:val="9"/>
        <w:tblW w:w="852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Layout w:type="fixed"/>
        <w:tblCellMar>
          <w:top w:w="0" w:type="dxa"/>
          <w:left w:w="108" w:type="dxa"/>
          <w:bottom w:w="0" w:type="dxa"/>
          <w:right w:w="108" w:type="dxa"/>
        </w:tblCellMar>
      </w:tblPr>
      <w:tblGrid>
        <w:gridCol w:w="959"/>
        <w:gridCol w:w="992"/>
        <w:gridCol w:w="6572"/>
      </w:tblGrid>
      <w:tr w14:paraId="3C0BF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348" w:hRule="atLeast"/>
          <w:tblHeader/>
        </w:trPr>
        <w:tc>
          <w:tcPr>
            <w:tcW w:w="959" w:type="dxa"/>
            <w:shd w:val="clear" w:color="auto" w:fill="BFBFBF"/>
            <w:vAlign w:val="center"/>
          </w:tcPr>
          <w:p w14:paraId="0F5CC292">
            <w:pPr>
              <w:widowControl/>
              <w:jc w:val="center"/>
              <w:rPr>
                <w:rFonts w:cs="宋体"/>
                <w:b/>
                <w:bCs/>
                <w:color w:val="000000" w:themeColor="text1"/>
                <w:kern w:val="0"/>
                <w:sz w:val="20"/>
                <w:szCs w:val="20"/>
                <w14:textFill>
                  <w14:solidFill>
                    <w14:schemeClr w14:val="tx1"/>
                  </w14:solidFill>
                </w14:textFill>
              </w:rPr>
            </w:pPr>
            <w:r>
              <w:rPr>
                <w:rFonts w:hint="eastAsia" w:cs="宋体"/>
                <w:b/>
                <w:bCs/>
                <w:color w:val="000000" w:themeColor="text1"/>
                <w:kern w:val="0"/>
                <w:sz w:val="20"/>
                <w:szCs w:val="20"/>
                <w14:textFill>
                  <w14:solidFill>
                    <w14:schemeClr w14:val="tx1"/>
                  </w14:solidFill>
                </w14:textFill>
              </w:rPr>
              <w:t>指标类</w:t>
            </w:r>
          </w:p>
        </w:tc>
        <w:tc>
          <w:tcPr>
            <w:tcW w:w="992" w:type="dxa"/>
            <w:shd w:val="clear" w:color="auto" w:fill="BFBFBF"/>
            <w:vAlign w:val="center"/>
          </w:tcPr>
          <w:p w14:paraId="74A11DA6">
            <w:pPr>
              <w:widowControl/>
              <w:jc w:val="center"/>
              <w:rPr>
                <w:rFonts w:cs="宋体"/>
                <w:b/>
                <w:bCs/>
                <w:color w:val="000000" w:themeColor="text1"/>
                <w:kern w:val="0"/>
                <w:sz w:val="20"/>
                <w:szCs w:val="20"/>
                <w14:textFill>
                  <w14:solidFill>
                    <w14:schemeClr w14:val="tx1"/>
                  </w14:solidFill>
                </w14:textFill>
              </w:rPr>
            </w:pPr>
            <w:r>
              <w:rPr>
                <w:rFonts w:hint="eastAsia" w:cs="宋体"/>
                <w:b/>
                <w:bCs/>
                <w:color w:val="000000" w:themeColor="text1"/>
                <w:kern w:val="0"/>
                <w:sz w:val="20"/>
                <w:szCs w:val="20"/>
                <w14:textFill>
                  <w14:solidFill>
                    <w14:schemeClr w14:val="tx1"/>
                  </w14:solidFill>
                </w14:textFill>
              </w:rPr>
              <w:t>指标项</w:t>
            </w:r>
          </w:p>
        </w:tc>
        <w:tc>
          <w:tcPr>
            <w:tcW w:w="6572" w:type="dxa"/>
            <w:shd w:val="clear" w:color="auto" w:fill="BFBFBF"/>
            <w:vAlign w:val="center"/>
          </w:tcPr>
          <w:p w14:paraId="63FB5580">
            <w:pPr>
              <w:widowControl/>
              <w:jc w:val="center"/>
              <w:rPr>
                <w:rFonts w:cs="宋体"/>
                <w:b/>
                <w:bCs/>
                <w:color w:val="000000" w:themeColor="text1"/>
                <w:kern w:val="0"/>
                <w:sz w:val="20"/>
                <w:szCs w:val="20"/>
                <w14:textFill>
                  <w14:solidFill>
                    <w14:schemeClr w14:val="tx1"/>
                  </w14:solidFill>
                </w14:textFill>
              </w:rPr>
            </w:pPr>
            <w:r>
              <w:rPr>
                <w:rFonts w:hint="eastAsia" w:cs="宋体"/>
                <w:b/>
                <w:bCs/>
                <w:color w:val="000000" w:themeColor="text1"/>
                <w:kern w:val="0"/>
                <w:sz w:val="20"/>
                <w:szCs w:val="20"/>
                <w14:textFill>
                  <w14:solidFill>
                    <w14:schemeClr w14:val="tx1"/>
                  </w14:solidFill>
                </w14:textFill>
              </w:rPr>
              <w:t>技术规格要求</w:t>
            </w:r>
          </w:p>
        </w:tc>
      </w:tr>
      <w:tr w14:paraId="6C4DED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305" w:hRule="atLeast"/>
        </w:trPr>
        <w:tc>
          <w:tcPr>
            <w:tcW w:w="959" w:type="dxa"/>
            <w:vMerge w:val="restart"/>
            <w:shd w:val="clear" w:color="auto" w:fill="FFFFFF"/>
            <w:vAlign w:val="center"/>
          </w:tcPr>
          <w:p w14:paraId="0FD94473">
            <w:pPr>
              <w:widowControl/>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功能</w:t>
            </w:r>
          </w:p>
          <w:p w14:paraId="52F49C0D">
            <w:pPr>
              <w:jc w:val="center"/>
              <w:rPr>
                <w:rFonts w:cs="宋体"/>
                <w:color w:val="000000" w:themeColor="text1"/>
                <w:kern w:val="0"/>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要求</w:t>
            </w:r>
          </w:p>
        </w:tc>
        <w:tc>
          <w:tcPr>
            <w:tcW w:w="992" w:type="dxa"/>
            <w:vMerge w:val="restart"/>
            <w:shd w:val="clear" w:color="auto" w:fill="FFFFFF"/>
            <w:vAlign w:val="center"/>
          </w:tcPr>
          <w:p w14:paraId="0D138D78">
            <w:pPr>
              <w:jc w:val="center"/>
              <w:rPr>
                <w:color w:val="000000" w:themeColor="text1"/>
                <w:sz w:val="20"/>
                <w:szCs w:val="20"/>
                <w14:textFill>
                  <w14:solidFill>
                    <w14:schemeClr w14:val="tx1"/>
                  </w14:solidFill>
                </w14:textFill>
              </w:rPr>
            </w:pPr>
            <w:r>
              <w:rPr>
                <w:rFonts w:hint="eastAsia" w:cs="宋体"/>
                <w:color w:val="000000" w:themeColor="text1"/>
                <w:kern w:val="0"/>
                <w:sz w:val="20"/>
                <w:szCs w:val="20"/>
                <w14:textFill>
                  <w14:solidFill>
                    <w14:schemeClr w14:val="tx1"/>
                  </w14:solidFill>
                </w14:textFill>
              </w:rPr>
              <w:t>软件</w:t>
            </w:r>
          </w:p>
        </w:tc>
        <w:tc>
          <w:tcPr>
            <w:tcW w:w="6572" w:type="dxa"/>
            <w:shd w:val="clear" w:color="auto" w:fill="FFFFFF"/>
            <w:vAlign w:val="center"/>
          </w:tcPr>
          <w:p w14:paraId="4226F9E7">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投标方提供的软件，授权不限MV数量；</w:t>
            </w:r>
          </w:p>
        </w:tc>
      </w:tr>
      <w:tr w14:paraId="3539C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304" w:hRule="atLeast"/>
        </w:trPr>
        <w:tc>
          <w:tcPr>
            <w:tcW w:w="959" w:type="dxa"/>
            <w:vMerge w:val="continue"/>
            <w:shd w:val="clear" w:color="auto" w:fill="FFFFFF"/>
            <w:vAlign w:val="center"/>
          </w:tcPr>
          <w:p w14:paraId="4EC05AFA">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446F0B6D">
            <w:pPr>
              <w:jc w:val="center"/>
              <w:rPr>
                <w:rFonts w:cs="宋体"/>
                <w:color w:val="000000" w:themeColor="text1"/>
                <w:kern w:val="0"/>
                <w:sz w:val="20"/>
                <w:szCs w:val="20"/>
                <w14:textFill>
                  <w14:solidFill>
                    <w14:schemeClr w14:val="tx1"/>
                  </w14:solidFill>
                </w14:textFill>
              </w:rPr>
            </w:pPr>
          </w:p>
        </w:tc>
        <w:tc>
          <w:tcPr>
            <w:tcW w:w="6572" w:type="dxa"/>
            <w:shd w:val="clear" w:color="auto" w:fill="FFFFFF"/>
            <w:vAlign w:val="center"/>
          </w:tcPr>
          <w:p w14:paraId="73162FEF">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软件授权年限不低于</w:t>
            </w:r>
            <w:r>
              <w:rPr>
                <w:color w:val="000000" w:themeColor="text1"/>
                <w:sz w:val="20"/>
                <w:szCs w:val="20"/>
                <w14:textFill>
                  <w14:solidFill>
                    <w14:schemeClr w14:val="tx1"/>
                  </w14:solidFill>
                </w14:textFill>
              </w:rPr>
              <w:t>2</w:t>
            </w:r>
            <w:r>
              <w:rPr>
                <w:rFonts w:hint="eastAsia"/>
                <w:color w:val="000000" w:themeColor="text1"/>
                <w:sz w:val="20"/>
                <w:szCs w:val="20"/>
                <w14:textFill>
                  <w14:solidFill>
                    <w14:schemeClr w14:val="tx1"/>
                  </w14:solidFill>
                </w14:textFill>
              </w:rPr>
              <w:t>0年；</w:t>
            </w:r>
          </w:p>
        </w:tc>
      </w:tr>
      <w:tr w14:paraId="3EFF8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852" w:hRule="atLeast"/>
        </w:trPr>
        <w:tc>
          <w:tcPr>
            <w:tcW w:w="959" w:type="dxa"/>
            <w:vMerge w:val="continue"/>
            <w:shd w:val="clear" w:color="auto" w:fill="FFFFFF"/>
            <w:vAlign w:val="center"/>
          </w:tcPr>
          <w:p w14:paraId="52123500">
            <w:pPr>
              <w:widowControl/>
              <w:jc w:val="center"/>
              <w:rPr>
                <w:rFonts w:cs="宋体"/>
                <w:color w:val="000000" w:themeColor="text1"/>
                <w:kern w:val="0"/>
                <w:sz w:val="20"/>
                <w:szCs w:val="20"/>
                <w14:textFill>
                  <w14:solidFill>
                    <w14:schemeClr w14:val="tx1"/>
                  </w14:solidFill>
                </w14:textFill>
              </w:rPr>
            </w:pPr>
          </w:p>
        </w:tc>
        <w:tc>
          <w:tcPr>
            <w:tcW w:w="992" w:type="dxa"/>
            <w:vMerge w:val="restart"/>
            <w:shd w:val="clear" w:color="auto" w:fill="FFFFFF"/>
            <w:vAlign w:val="center"/>
          </w:tcPr>
          <w:p w14:paraId="1F882050">
            <w:pPr>
              <w:jc w:val="center"/>
              <w:rPr>
                <w:rFonts w:cs="宋体"/>
                <w:color w:val="000000" w:themeColor="text1"/>
                <w:kern w:val="0"/>
                <w:sz w:val="20"/>
                <w:szCs w:val="20"/>
                <w14:textFill>
                  <w14:solidFill>
                    <w14:schemeClr w14:val="tx1"/>
                  </w14:solidFill>
                </w14:textFill>
              </w:rPr>
            </w:pPr>
            <w:r>
              <w:rPr>
                <w:rFonts w:hint="eastAsia"/>
                <w:color w:val="000000" w:themeColor="text1"/>
                <w:sz w:val="20"/>
                <w:szCs w:val="20"/>
                <w14:textFill>
                  <w14:solidFill>
                    <w14:schemeClr w14:val="tx1"/>
                  </w14:solidFill>
                </w14:textFill>
              </w:rPr>
              <w:t>全面性</w:t>
            </w:r>
          </w:p>
        </w:tc>
        <w:tc>
          <w:tcPr>
            <w:tcW w:w="6572" w:type="dxa"/>
            <w:shd w:val="clear" w:color="auto" w:fill="FFFFFF"/>
            <w:vAlign w:val="center"/>
          </w:tcPr>
          <w:p w14:paraId="444C5256">
            <w:pPr>
              <w:widowControl/>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w:t>
            </w:r>
            <w:r>
              <w:rPr>
                <w:rFonts w:hint="eastAsia"/>
                <w:color w:val="000000" w:themeColor="text1"/>
                <w:sz w:val="20"/>
                <w:szCs w:val="20"/>
                <w14:textFill>
                  <w14:solidFill>
                    <w14:schemeClr w14:val="tx1"/>
                  </w14:solidFill>
                </w14:textFill>
              </w:rPr>
              <w:t>集数据采集、数据分析、多变量模型辨识、多变量预测控制、智能软测量、</w:t>
            </w:r>
            <w:r>
              <w:rPr>
                <w:color w:val="000000" w:themeColor="text1"/>
                <w:sz w:val="20"/>
                <w:szCs w:val="20"/>
                <w14:textFill>
                  <w14:solidFill>
                    <w14:schemeClr w14:val="tx1"/>
                  </w14:solidFill>
                </w14:textFill>
              </w:rPr>
              <w:t>PRBS</w:t>
            </w:r>
            <w:r>
              <w:rPr>
                <w:rFonts w:hint="eastAsia"/>
                <w:color w:val="000000" w:themeColor="text1"/>
                <w:sz w:val="20"/>
                <w:szCs w:val="20"/>
                <w14:textFill>
                  <w14:solidFill>
                    <w14:schemeClr w14:val="tx1"/>
                  </w14:solidFill>
                </w14:textFill>
              </w:rPr>
              <w:t>自动阶跃测试、模糊逻辑控制、可拓展开发环境的一体化成熟平台；</w:t>
            </w:r>
          </w:p>
        </w:tc>
      </w:tr>
      <w:tr w14:paraId="348A22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1" w:hRule="atLeast"/>
        </w:trPr>
        <w:tc>
          <w:tcPr>
            <w:tcW w:w="959" w:type="dxa"/>
            <w:vMerge w:val="continue"/>
            <w:shd w:val="clear" w:color="auto" w:fill="FFFFFF"/>
            <w:vAlign w:val="center"/>
          </w:tcPr>
          <w:p w14:paraId="6CC59899">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737C2329">
            <w:pPr>
              <w:jc w:val="center"/>
              <w:rPr>
                <w:color w:val="000000" w:themeColor="text1"/>
                <w:sz w:val="20"/>
                <w:szCs w:val="20"/>
                <w14:textFill>
                  <w14:solidFill>
                    <w14:schemeClr w14:val="tx1"/>
                  </w14:solidFill>
                </w14:textFill>
              </w:rPr>
            </w:pPr>
          </w:p>
        </w:tc>
        <w:tc>
          <w:tcPr>
            <w:tcW w:w="6572" w:type="dxa"/>
            <w:shd w:val="clear" w:color="auto" w:fill="FFFFFF"/>
            <w:vAlign w:val="center"/>
          </w:tcPr>
          <w:p w14:paraId="7C5DC637">
            <w:pPr>
              <w:widowControl/>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MPC</w:t>
            </w:r>
            <w:r>
              <w:rPr>
                <w:rFonts w:hint="eastAsia"/>
                <w:color w:val="000000" w:themeColor="text1"/>
                <w:sz w:val="20"/>
                <w:szCs w:val="20"/>
                <w14:textFill>
                  <w14:solidFill>
                    <w14:schemeClr w14:val="tx1"/>
                  </w14:solidFill>
                </w14:textFill>
              </w:rPr>
              <w:t>模型：多变量线性模型预测技术</w:t>
            </w:r>
            <w:r>
              <w:rPr>
                <w:color w:val="000000" w:themeColor="text1"/>
                <w:sz w:val="20"/>
                <w:szCs w:val="20"/>
                <w14:textFill>
                  <w14:solidFill>
                    <w14:schemeClr w14:val="tx1"/>
                  </w14:solidFill>
                </w14:textFill>
              </w:rPr>
              <w:t>(MPC</w:t>
            </w:r>
            <w:r>
              <w:rPr>
                <w:rFonts w:hint="eastAsia"/>
                <w:color w:val="000000" w:themeColor="text1"/>
                <w:sz w:val="20"/>
                <w:szCs w:val="20"/>
                <w14:textFill>
                  <w14:solidFill>
                    <w14:schemeClr w14:val="tx1"/>
                  </w14:solidFill>
                </w14:textFill>
              </w:rPr>
              <w:t>模型</w:t>
            </w:r>
            <w:r>
              <w:rPr>
                <w:color w:val="000000" w:themeColor="text1"/>
                <w:sz w:val="20"/>
                <w:szCs w:val="20"/>
                <w14:textFill>
                  <w14:solidFill>
                    <w14:schemeClr w14:val="tx1"/>
                  </w14:solidFill>
                </w14:textFill>
              </w:rPr>
              <w:t>)</w:t>
            </w:r>
            <w:r>
              <w:rPr>
                <w:rFonts w:hint="eastAsia"/>
                <w:color w:val="000000" w:themeColor="text1"/>
                <w:sz w:val="20"/>
                <w:szCs w:val="20"/>
                <w14:textFill>
                  <w14:solidFill>
                    <w14:schemeClr w14:val="tx1"/>
                  </w14:solidFill>
                </w14:textFill>
              </w:rPr>
              <w:t>；</w:t>
            </w:r>
          </w:p>
        </w:tc>
      </w:tr>
      <w:tr w14:paraId="5529EB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351" w:hRule="atLeast"/>
        </w:trPr>
        <w:tc>
          <w:tcPr>
            <w:tcW w:w="959" w:type="dxa"/>
            <w:vMerge w:val="continue"/>
            <w:shd w:val="clear" w:color="auto" w:fill="FFFFFF"/>
            <w:vAlign w:val="center"/>
          </w:tcPr>
          <w:p w14:paraId="325DE960">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57CEDEA4">
            <w:pPr>
              <w:widowControl/>
              <w:jc w:val="center"/>
              <w:rPr>
                <w:color w:val="000000" w:themeColor="text1"/>
                <w:sz w:val="20"/>
                <w:szCs w:val="20"/>
                <w14:textFill>
                  <w14:solidFill>
                    <w14:schemeClr w14:val="tx1"/>
                  </w14:solidFill>
                </w14:textFill>
              </w:rPr>
            </w:pPr>
          </w:p>
        </w:tc>
        <w:tc>
          <w:tcPr>
            <w:tcW w:w="6572" w:type="dxa"/>
            <w:shd w:val="clear" w:color="auto" w:fill="FFFFFF"/>
            <w:vAlign w:val="center"/>
          </w:tcPr>
          <w:p w14:paraId="36402075">
            <w:pPr>
              <w:widowControl/>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LP</w:t>
            </w:r>
            <w:r>
              <w:rPr>
                <w:rFonts w:hint="eastAsia"/>
                <w:color w:val="000000" w:themeColor="text1"/>
                <w:sz w:val="20"/>
                <w:szCs w:val="20"/>
                <w14:textFill>
                  <w14:solidFill>
                    <w14:schemeClr w14:val="tx1"/>
                  </w14:solidFill>
                </w14:textFill>
              </w:rPr>
              <w:t>优化：基于</w:t>
            </w:r>
            <w:r>
              <w:rPr>
                <w:color w:val="000000" w:themeColor="text1"/>
                <w:sz w:val="20"/>
                <w:szCs w:val="20"/>
                <w14:textFill>
                  <w14:solidFill>
                    <w14:schemeClr w14:val="tx1"/>
                  </w14:solidFill>
                </w14:textFill>
              </w:rPr>
              <w:t>MPC</w:t>
            </w:r>
            <w:r>
              <w:rPr>
                <w:rFonts w:hint="eastAsia"/>
                <w:color w:val="000000" w:themeColor="text1"/>
                <w:sz w:val="20"/>
                <w:szCs w:val="20"/>
                <w14:textFill>
                  <w14:solidFill>
                    <w14:schemeClr w14:val="tx1"/>
                  </w14:solidFill>
                </w14:textFill>
              </w:rPr>
              <w:t>控制器自动生成对应的</w:t>
            </w:r>
            <w:r>
              <w:rPr>
                <w:color w:val="000000" w:themeColor="text1"/>
                <w:sz w:val="20"/>
                <w:szCs w:val="20"/>
                <w14:textFill>
                  <w14:solidFill>
                    <w14:schemeClr w14:val="tx1"/>
                  </w14:solidFill>
                </w14:textFill>
              </w:rPr>
              <w:t>LP</w:t>
            </w:r>
            <w:r>
              <w:rPr>
                <w:rFonts w:hint="eastAsia"/>
                <w:color w:val="000000" w:themeColor="text1"/>
                <w:sz w:val="20"/>
                <w:szCs w:val="20"/>
                <w14:textFill>
                  <w14:solidFill>
                    <w14:schemeClr w14:val="tx1"/>
                  </w14:solidFill>
                </w14:textFill>
              </w:rPr>
              <w:t>在线优化器；</w:t>
            </w:r>
          </w:p>
        </w:tc>
      </w:tr>
      <w:tr w14:paraId="382BFC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959" w:type="dxa"/>
            <w:vMerge w:val="continue"/>
            <w:shd w:val="clear" w:color="auto" w:fill="FFFFFF"/>
            <w:vAlign w:val="center"/>
          </w:tcPr>
          <w:p w14:paraId="442AC3DC">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37A8B7F9">
            <w:pPr>
              <w:widowControl/>
              <w:jc w:val="center"/>
              <w:rPr>
                <w:color w:val="000000" w:themeColor="text1"/>
                <w:sz w:val="20"/>
                <w:szCs w:val="20"/>
                <w14:textFill>
                  <w14:solidFill>
                    <w14:schemeClr w14:val="tx1"/>
                  </w14:solidFill>
                </w14:textFill>
              </w:rPr>
            </w:pPr>
          </w:p>
        </w:tc>
        <w:tc>
          <w:tcPr>
            <w:tcW w:w="6572" w:type="dxa"/>
            <w:shd w:val="clear" w:color="auto" w:fill="FFFFFF"/>
            <w:vAlign w:val="center"/>
          </w:tcPr>
          <w:p w14:paraId="5EA69842">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软仪表功能：支持开发工艺计算或者软仪表；</w:t>
            </w:r>
          </w:p>
        </w:tc>
      </w:tr>
      <w:tr w14:paraId="4F2D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852" w:hRule="atLeast"/>
        </w:trPr>
        <w:tc>
          <w:tcPr>
            <w:tcW w:w="959" w:type="dxa"/>
            <w:vMerge w:val="continue"/>
            <w:shd w:val="clear" w:color="auto" w:fill="FFFFFF"/>
            <w:vAlign w:val="center"/>
          </w:tcPr>
          <w:p w14:paraId="0A8D7893">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705752CD">
            <w:pPr>
              <w:widowControl/>
              <w:jc w:val="center"/>
              <w:rPr>
                <w:color w:val="000000" w:themeColor="text1"/>
                <w:sz w:val="20"/>
                <w:szCs w:val="20"/>
                <w14:textFill>
                  <w14:solidFill>
                    <w14:schemeClr w14:val="tx1"/>
                  </w14:solidFill>
                </w14:textFill>
              </w:rPr>
            </w:pPr>
          </w:p>
        </w:tc>
        <w:tc>
          <w:tcPr>
            <w:tcW w:w="6572" w:type="dxa"/>
            <w:shd w:val="clear" w:color="auto" w:fill="FFFFFF"/>
            <w:vAlign w:val="center"/>
          </w:tcPr>
          <w:p w14:paraId="6110738A">
            <w:pPr>
              <w:widowControl/>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w:t>
            </w:r>
            <w:r>
              <w:rPr>
                <w:rFonts w:hint="eastAsia"/>
                <w:color w:val="000000" w:themeColor="text1"/>
                <w:sz w:val="20"/>
                <w:szCs w:val="20"/>
                <w14:textFill>
                  <w14:solidFill>
                    <w14:schemeClr w14:val="tx1"/>
                  </w14:solidFill>
                </w14:textFill>
              </w:rPr>
              <w:t>模型自适应功能：具备在线自适应功能，可实时监测在线模型对于过程的偏差情况，当工况变化较大时，可进行模型自动切换，避免模型与生产工况失配的问题；</w:t>
            </w:r>
            <w:r>
              <w:rPr>
                <w:color w:val="000000" w:themeColor="text1"/>
                <w:sz w:val="20"/>
                <w:szCs w:val="20"/>
                <w14:textFill>
                  <w14:solidFill>
                    <w14:schemeClr w14:val="tx1"/>
                  </w14:solidFill>
                </w14:textFill>
              </w:rPr>
              <w:t>有经济目标函数优化功能</w:t>
            </w:r>
            <w:r>
              <w:rPr>
                <w:rFonts w:hint="eastAsia"/>
                <w:color w:val="000000" w:themeColor="text1"/>
                <w:sz w:val="20"/>
                <w:szCs w:val="20"/>
                <w14:textFill>
                  <w14:solidFill>
                    <w14:schemeClr w14:val="tx1"/>
                  </w14:solidFill>
                </w14:textFill>
              </w:rPr>
              <w:t>；</w:t>
            </w:r>
            <w:r>
              <w:rPr>
                <w:color w:val="000000" w:themeColor="text1"/>
                <w:sz w:val="20"/>
                <w:szCs w:val="20"/>
                <w14:textFill>
                  <w14:solidFill>
                    <w14:schemeClr w14:val="tx1"/>
                  </w14:solidFill>
                </w14:textFill>
              </w:rPr>
              <w:t>能够处理线性、任意非线性形式的经济目标函数，且能够处理多目标优化问题</w:t>
            </w:r>
            <w:r>
              <w:rPr>
                <w:rFonts w:hint="eastAsia"/>
                <w:color w:val="000000" w:themeColor="text1"/>
                <w:sz w:val="20"/>
                <w:szCs w:val="20"/>
                <w14:textFill>
                  <w14:solidFill>
                    <w14:schemeClr w14:val="tx1"/>
                  </w14:solidFill>
                </w14:textFill>
              </w:rPr>
              <w:t>；</w:t>
            </w:r>
          </w:p>
        </w:tc>
      </w:tr>
      <w:tr w14:paraId="7E2207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8" w:hRule="atLeast"/>
        </w:trPr>
        <w:tc>
          <w:tcPr>
            <w:tcW w:w="959" w:type="dxa"/>
            <w:vMerge w:val="continue"/>
            <w:shd w:val="clear" w:color="auto" w:fill="FFFFFF"/>
            <w:vAlign w:val="center"/>
          </w:tcPr>
          <w:p w14:paraId="18CB31AA">
            <w:pPr>
              <w:widowControl/>
              <w:jc w:val="center"/>
              <w:rPr>
                <w:rFonts w:cs="宋体"/>
                <w:color w:val="000000" w:themeColor="text1"/>
                <w:kern w:val="0"/>
                <w:sz w:val="20"/>
                <w:szCs w:val="20"/>
                <w14:textFill>
                  <w14:solidFill>
                    <w14:schemeClr w14:val="tx1"/>
                  </w14:solidFill>
                </w14:textFill>
              </w:rPr>
            </w:pPr>
          </w:p>
        </w:tc>
        <w:tc>
          <w:tcPr>
            <w:tcW w:w="992" w:type="dxa"/>
            <w:shd w:val="clear" w:color="auto" w:fill="FFFFFF"/>
            <w:vAlign w:val="center"/>
          </w:tcPr>
          <w:p w14:paraId="463D11E9">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开放性和可拓展性</w:t>
            </w:r>
          </w:p>
        </w:tc>
        <w:tc>
          <w:tcPr>
            <w:tcW w:w="6572" w:type="dxa"/>
            <w:shd w:val="clear" w:color="auto" w:fill="FFFFFF"/>
          </w:tcPr>
          <w:p w14:paraId="504C6C9F">
            <w:pPr>
              <w:widowControl/>
              <w:rPr>
                <w:color w:val="000000" w:themeColor="text1"/>
                <w:sz w:val="20"/>
                <w:szCs w:val="20"/>
                <w14:textFill>
                  <w14:solidFill>
                    <w14:schemeClr w14:val="tx1"/>
                  </w14:solidFill>
                </w14:textFill>
              </w:rPr>
            </w:pPr>
          </w:p>
          <w:p w14:paraId="2FE4F89A">
            <w:pP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*支持二次开发，支持数据通讯；在标准多变量模型预估控制之外，须能够支持自由编程。</w:t>
            </w:r>
          </w:p>
        </w:tc>
      </w:tr>
      <w:tr w14:paraId="107D6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295" w:hRule="atLeast"/>
        </w:trPr>
        <w:tc>
          <w:tcPr>
            <w:tcW w:w="959" w:type="dxa"/>
            <w:vMerge w:val="continue"/>
            <w:shd w:val="clear" w:color="auto" w:fill="FFFFFF"/>
            <w:vAlign w:val="center"/>
          </w:tcPr>
          <w:p w14:paraId="41AA215C">
            <w:pPr>
              <w:widowControl/>
              <w:jc w:val="center"/>
              <w:rPr>
                <w:rFonts w:cs="宋体"/>
                <w:color w:val="000000" w:themeColor="text1"/>
                <w:kern w:val="0"/>
                <w:sz w:val="20"/>
                <w:szCs w:val="20"/>
                <w14:textFill>
                  <w14:solidFill>
                    <w14:schemeClr w14:val="tx1"/>
                  </w14:solidFill>
                </w14:textFill>
              </w:rPr>
            </w:pPr>
          </w:p>
        </w:tc>
        <w:tc>
          <w:tcPr>
            <w:tcW w:w="992" w:type="dxa"/>
            <w:vMerge w:val="restart"/>
            <w:shd w:val="clear" w:color="auto" w:fill="FFFFFF"/>
            <w:vAlign w:val="center"/>
          </w:tcPr>
          <w:p w14:paraId="36CE9865">
            <w:pPr>
              <w:widowControl/>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安全性</w:t>
            </w:r>
          </w:p>
        </w:tc>
        <w:tc>
          <w:tcPr>
            <w:tcW w:w="6572" w:type="dxa"/>
            <w:shd w:val="clear" w:color="auto" w:fill="FFFFFF"/>
          </w:tcPr>
          <w:p w14:paraId="2EB92998">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异常工况自动处理：具备异常工况自动切除功能；</w:t>
            </w:r>
          </w:p>
        </w:tc>
      </w:tr>
      <w:tr w14:paraId="13834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295" w:hRule="atLeast"/>
        </w:trPr>
        <w:tc>
          <w:tcPr>
            <w:tcW w:w="959" w:type="dxa"/>
            <w:vMerge w:val="continue"/>
            <w:shd w:val="clear" w:color="auto" w:fill="FFFFFF"/>
            <w:vAlign w:val="center"/>
          </w:tcPr>
          <w:p w14:paraId="3656CF9F">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3B67C4A7">
            <w:pPr>
              <w:widowControl/>
              <w:jc w:val="center"/>
              <w:rPr>
                <w:color w:val="000000" w:themeColor="text1"/>
                <w:sz w:val="20"/>
                <w:szCs w:val="20"/>
                <w14:textFill>
                  <w14:solidFill>
                    <w14:schemeClr w14:val="tx1"/>
                  </w14:solidFill>
                </w14:textFill>
              </w:rPr>
            </w:pPr>
          </w:p>
        </w:tc>
        <w:tc>
          <w:tcPr>
            <w:tcW w:w="6572" w:type="dxa"/>
            <w:shd w:val="clear" w:color="auto" w:fill="FFFFFF"/>
          </w:tcPr>
          <w:p w14:paraId="16F015DC">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无扰切换：在控制器投用或切除时，做到无扰切换；</w:t>
            </w:r>
          </w:p>
        </w:tc>
      </w:tr>
      <w:tr w14:paraId="62014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295" w:hRule="atLeast"/>
        </w:trPr>
        <w:tc>
          <w:tcPr>
            <w:tcW w:w="959" w:type="dxa"/>
            <w:vMerge w:val="continue"/>
            <w:shd w:val="clear" w:color="auto" w:fill="FFFFFF"/>
            <w:vAlign w:val="center"/>
          </w:tcPr>
          <w:p w14:paraId="543BB62D">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11C8CD6B">
            <w:pPr>
              <w:widowControl/>
              <w:jc w:val="center"/>
              <w:rPr>
                <w:color w:val="000000" w:themeColor="text1"/>
                <w:sz w:val="20"/>
                <w:szCs w:val="20"/>
                <w14:textFill>
                  <w14:solidFill>
                    <w14:schemeClr w14:val="tx1"/>
                  </w14:solidFill>
                </w14:textFill>
              </w:rPr>
            </w:pPr>
          </w:p>
        </w:tc>
        <w:tc>
          <w:tcPr>
            <w:tcW w:w="6572" w:type="dxa"/>
            <w:shd w:val="clear" w:color="auto" w:fill="FFFFFF"/>
          </w:tcPr>
          <w:p w14:paraId="5F7D3904">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一键切除功能：具备一键切除</w:t>
            </w:r>
            <w:r>
              <w:rPr>
                <w:color w:val="000000" w:themeColor="text1"/>
                <w:sz w:val="20"/>
                <w:szCs w:val="20"/>
                <w14:textFill>
                  <w14:solidFill>
                    <w14:schemeClr w14:val="tx1"/>
                  </w14:solidFill>
                </w14:textFill>
              </w:rPr>
              <w:t>/</w:t>
            </w:r>
            <w:r>
              <w:rPr>
                <w:rFonts w:hint="eastAsia"/>
                <w:color w:val="000000" w:themeColor="text1"/>
                <w:sz w:val="20"/>
                <w:szCs w:val="20"/>
                <w14:textFill>
                  <w14:solidFill>
                    <w14:schemeClr w14:val="tx1"/>
                  </w14:solidFill>
                </w14:textFill>
              </w:rPr>
              <w:t>投用功能；</w:t>
            </w:r>
          </w:p>
        </w:tc>
      </w:tr>
      <w:tr w14:paraId="6E848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295" w:hRule="atLeast"/>
        </w:trPr>
        <w:tc>
          <w:tcPr>
            <w:tcW w:w="959" w:type="dxa"/>
            <w:vMerge w:val="continue"/>
            <w:shd w:val="clear" w:color="auto" w:fill="FFFFFF"/>
            <w:vAlign w:val="center"/>
          </w:tcPr>
          <w:p w14:paraId="65676965">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4B432846">
            <w:pPr>
              <w:widowControl/>
              <w:jc w:val="center"/>
              <w:rPr>
                <w:color w:val="000000" w:themeColor="text1"/>
                <w:sz w:val="20"/>
                <w:szCs w:val="20"/>
                <w14:textFill>
                  <w14:solidFill>
                    <w14:schemeClr w14:val="tx1"/>
                  </w14:solidFill>
                </w14:textFill>
              </w:rPr>
            </w:pPr>
          </w:p>
        </w:tc>
        <w:tc>
          <w:tcPr>
            <w:tcW w:w="6572" w:type="dxa"/>
            <w:shd w:val="clear" w:color="auto" w:fill="FFFFFF"/>
          </w:tcPr>
          <w:p w14:paraId="6A6CE470">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安全性：工程文件可加密保护；</w:t>
            </w:r>
          </w:p>
        </w:tc>
      </w:tr>
      <w:tr w14:paraId="309502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BFBFBF"/>
          <w:tblCellMar>
            <w:top w:w="0" w:type="dxa"/>
            <w:left w:w="108" w:type="dxa"/>
            <w:bottom w:w="0" w:type="dxa"/>
            <w:right w:w="108" w:type="dxa"/>
          </w:tblCellMar>
        </w:tblPrEx>
        <w:trPr>
          <w:trHeight w:val="852" w:hRule="atLeast"/>
        </w:trPr>
        <w:tc>
          <w:tcPr>
            <w:tcW w:w="959" w:type="dxa"/>
            <w:vMerge w:val="continue"/>
            <w:shd w:val="clear" w:color="auto" w:fill="FFFFFF"/>
            <w:vAlign w:val="center"/>
          </w:tcPr>
          <w:p w14:paraId="3DC915EB">
            <w:pPr>
              <w:widowControl/>
              <w:jc w:val="center"/>
              <w:rPr>
                <w:rFonts w:cs="宋体"/>
                <w:color w:val="000000" w:themeColor="text1"/>
                <w:kern w:val="0"/>
                <w:sz w:val="20"/>
                <w:szCs w:val="20"/>
                <w14:textFill>
                  <w14:solidFill>
                    <w14:schemeClr w14:val="tx1"/>
                  </w14:solidFill>
                </w14:textFill>
              </w:rPr>
            </w:pPr>
          </w:p>
        </w:tc>
        <w:tc>
          <w:tcPr>
            <w:tcW w:w="992" w:type="dxa"/>
            <w:vMerge w:val="restart"/>
            <w:shd w:val="clear" w:color="auto" w:fill="FFFFFF"/>
            <w:vAlign w:val="center"/>
          </w:tcPr>
          <w:p w14:paraId="665ABC79">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易用性</w:t>
            </w:r>
          </w:p>
        </w:tc>
        <w:tc>
          <w:tcPr>
            <w:tcW w:w="6572" w:type="dxa"/>
            <w:shd w:val="clear" w:color="auto" w:fill="FFFFFF"/>
          </w:tcPr>
          <w:p w14:paraId="41FD6192">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系统具有良好的易用性与开放性，人机交互界面友好，功能块清晰可见，操作便捷，易于工艺工程师与</w:t>
            </w:r>
            <w:r>
              <w:rPr>
                <w:color w:val="000000" w:themeColor="text1"/>
                <w:sz w:val="20"/>
                <w:szCs w:val="20"/>
                <w14:textFill>
                  <w14:solidFill>
                    <w14:schemeClr w14:val="tx1"/>
                  </w14:solidFill>
                </w14:textFill>
              </w:rPr>
              <w:t>APC</w:t>
            </w:r>
            <w:r>
              <w:rPr>
                <w:rFonts w:hint="eastAsia"/>
                <w:color w:val="000000" w:themeColor="text1"/>
                <w:sz w:val="20"/>
                <w:szCs w:val="20"/>
                <w14:textFill>
                  <w14:solidFill>
                    <w14:schemeClr w14:val="tx1"/>
                  </w14:solidFill>
                </w14:textFill>
              </w:rPr>
              <w:t>项目维护人员的查看和使用；</w:t>
            </w:r>
          </w:p>
        </w:tc>
      </w:tr>
      <w:tr w14:paraId="57A324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959" w:type="dxa"/>
            <w:vMerge w:val="continue"/>
            <w:shd w:val="clear" w:color="auto" w:fill="FFFFFF"/>
            <w:vAlign w:val="center"/>
          </w:tcPr>
          <w:p w14:paraId="5F85D26F">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2BE6C856">
            <w:pPr>
              <w:widowControl/>
              <w:jc w:val="center"/>
              <w:rPr>
                <w:color w:val="000000" w:themeColor="text1"/>
                <w:sz w:val="20"/>
                <w:szCs w:val="20"/>
                <w14:textFill>
                  <w14:solidFill>
                    <w14:schemeClr w14:val="tx1"/>
                  </w14:solidFill>
                </w14:textFill>
              </w:rPr>
            </w:pPr>
          </w:p>
        </w:tc>
        <w:tc>
          <w:tcPr>
            <w:tcW w:w="6572" w:type="dxa"/>
            <w:shd w:val="clear" w:color="auto" w:fill="FFFFFF"/>
          </w:tcPr>
          <w:p w14:paraId="4FA0672E">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趋势图查看功能：能够以图形和趋势图查询和展示长、短期历史数据，储存历史数据；</w:t>
            </w:r>
          </w:p>
        </w:tc>
      </w:tr>
      <w:tr w14:paraId="31C3A7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9" w:hRule="atLeast"/>
        </w:trPr>
        <w:tc>
          <w:tcPr>
            <w:tcW w:w="959" w:type="dxa"/>
            <w:vMerge w:val="continue"/>
            <w:shd w:val="clear" w:color="auto" w:fill="FFFFFF"/>
            <w:vAlign w:val="center"/>
          </w:tcPr>
          <w:p w14:paraId="177FE62C">
            <w:pPr>
              <w:widowControl/>
              <w:jc w:val="center"/>
              <w:rPr>
                <w:rFonts w:cs="宋体"/>
                <w:color w:val="000000" w:themeColor="text1"/>
                <w:kern w:val="0"/>
                <w:sz w:val="20"/>
                <w:szCs w:val="20"/>
                <w14:textFill>
                  <w14:solidFill>
                    <w14:schemeClr w14:val="tx1"/>
                  </w14:solidFill>
                </w14:textFill>
              </w:rPr>
            </w:pPr>
          </w:p>
        </w:tc>
        <w:tc>
          <w:tcPr>
            <w:tcW w:w="992" w:type="dxa"/>
            <w:vMerge w:val="continue"/>
            <w:shd w:val="clear" w:color="auto" w:fill="FFFFFF"/>
            <w:vAlign w:val="center"/>
          </w:tcPr>
          <w:p w14:paraId="20ADD784">
            <w:pPr>
              <w:widowControl/>
              <w:jc w:val="center"/>
              <w:rPr>
                <w:color w:val="000000" w:themeColor="text1"/>
                <w:sz w:val="20"/>
                <w:szCs w:val="20"/>
                <w14:textFill>
                  <w14:solidFill>
                    <w14:schemeClr w14:val="tx1"/>
                  </w14:solidFill>
                </w14:textFill>
              </w:rPr>
            </w:pPr>
          </w:p>
        </w:tc>
        <w:tc>
          <w:tcPr>
            <w:tcW w:w="6572" w:type="dxa"/>
            <w:shd w:val="clear" w:color="auto" w:fill="FFFFFF"/>
          </w:tcPr>
          <w:p w14:paraId="483198E7">
            <w:pPr>
              <w:widowControl/>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具有中文操作界面，方便甲方人员掌握及后期维护；</w:t>
            </w:r>
          </w:p>
        </w:tc>
      </w:tr>
      <w:tr w14:paraId="538A46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1" w:hRule="atLeast"/>
        </w:trPr>
        <w:tc>
          <w:tcPr>
            <w:tcW w:w="959" w:type="dxa"/>
            <w:vMerge w:val="continue"/>
            <w:shd w:val="clear" w:color="auto" w:fill="FFFFFF"/>
            <w:vAlign w:val="center"/>
          </w:tcPr>
          <w:p w14:paraId="28C3004D">
            <w:pPr>
              <w:widowControl/>
              <w:jc w:val="center"/>
              <w:rPr>
                <w:rFonts w:cs="宋体"/>
                <w:color w:val="000000" w:themeColor="text1"/>
                <w:kern w:val="0"/>
                <w:sz w:val="20"/>
                <w:szCs w:val="20"/>
                <w14:textFill>
                  <w14:solidFill>
                    <w14:schemeClr w14:val="tx1"/>
                  </w14:solidFill>
                </w14:textFill>
              </w:rPr>
            </w:pPr>
          </w:p>
        </w:tc>
        <w:tc>
          <w:tcPr>
            <w:tcW w:w="992" w:type="dxa"/>
            <w:shd w:val="clear" w:color="auto" w:fill="FFFFFF"/>
            <w:vAlign w:val="center"/>
          </w:tcPr>
          <w:p w14:paraId="5BEF62B0">
            <w:pPr>
              <w:widowControl/>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成熟性</w:t>
            </w:r>
          </w:p>
        </w:tc>
        <w:tc>
          <w:tcPr>
            <w:tcW w:w="6572" w:type="dxa"/>
            <w:shd w:val="clear" w:color="auto" w:fill="FFFFFF"/>
          </w:tcPr>
          <w:p w14:paraId="09A9D62E">
            <w:pPr>
              <w:widowControl/>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w:t>
            </w:r>
            <w:r>
              <w:rPr>
                <w:rFonts w:hint="eastAsia"/>
                <w:color w:val="000000" w:themeColor="text1"/>
                <w:sz w:val="20"/>
                <w:szCs w:val="20"/>
                <w14:textFill>
                  <w14:solidFill>
                    <w14:schemeClr w14:val="tx1"/>
                  </w14:solidFill>
                </w14:textFill>
              </w:rPr>
              <w:t>软件成熟度要求：软件商务化推出年限不低于</w:t>
            </w:r>
            <w:r>
              <w:rPr>
                <w:color w:val="000000" w:themeColor="text1"/>
                <w:sz w:val="20"/>
                <w:szCs w:val="20"/>
                <w14:textFill>
                  <w14:solidFill>
                    <w14:schemeClr w14:val="tx1"/>
                  </w14:solidFill>
                </w14:textFill>
              </w:rPr>
              <w:t>5年；</w:t>
            </w:r>
          </w:p>
        </w:tc>
      </w:tr>
    </w:tbl>
    <w:p w14:paraId="223D95A2">
      <w:pPr>
        <w:widowControl/>
        <w:spacing w:line="312"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 xml:space="preserve">注：标注为“*”的指标为关键评价指标。不满足关键评价指标的视为废标。 </w:t>
      </w:r>
    </w:p>
    <w:p w14:paraId="5B8F9D5A">
      <w:pPr>
        <w:widowControl/>
        <w:spacing w:line="312" w:lineRule="auto"/>
        <w:ind w:firstLine="420"/>
        <w:rPr>
          <w:b/>
          <w:color w:val="000000" w:themeColor="text1"/>
          <w14:textFill>
            <w14:solidFill>
              <w14:schemeClr w14:val="tx1"/>
            </w14:solidFill>
          </w14:textFill>
        </w:rPr>
      </w:pPr>
      <w:r>
        <w:rPr>
          <w:rFonts w:hint="eastAsia"/>
          <w:b/>
          <w:bCs/>
          <w:color w:val="000000" w:themeColor="text1"/>
          <w:szCs w:val="21"/>
          <w14:textFill>
            <w14:solidFill>
              <w14:schemeClr w14:val="tx1"/>
            </w14:solidFill>
          </w14:textFill>
        </w:rPr>
        <w:t>投标人须对以上技术规格要求进行逐项应答，明确每个指标满足情况，并提供证明材料（系统截图、或用户证明、或第三方认证或测试报告等）。技术规格和服务如果有偏离，请填写在技术偏离表中。技术偏离表中无体现的，视为投标人可满足招标文件的要求，后期合同按招标要求执行。</w:t>
      </w:r>
    </w:p>
    <w:p w14:paraId="576FF922">
      <w:pPr>
        <w:spacing w:line="312" w:lineRule="auto"/>
        <w:ind w:left="358"/>
        <w:rPr>
          <w:b/>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.1.</w:t>
      </w:r>
      <w:r>
        <w:rPr>
          <w:b/>
          <w:color w:val="000000" w:themeColor="text1"/>
          <w14:textFill>
            <w14:solidFill>
              <w14:schemeClr w14:val="tx1"/>
            </w14:solidFill>
          </w14:textFill>
        </w:rPr>
        <w:t>2</w:t>
      </w:r>
      <w:r>
        <w:rPr>
          <w:rFonts w:hint="eastAsia"/>
          <w:b/>
          <w:color w:val="000000" w:themeColor="text1"/>
          <w14:textFill>
            <w14:solidFill>
              <w14:schemeClr w14:val="tx1"/>
            </w14:solidFill>
          </w14:textFill>
        </w:rPr>
        <w:t>体系架构要求</w:t>
      </w:r>
    </w:p>
    <w:p w14:paraId="1311576B">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系统采用基于OPC服务器建设的体系架构方案。</w:t>
      </w:r>
    </w:p>
    <w:p w14:paraId="5E729226">
      <w:pPr>
        <w:spacing w:line="360" w:lineRule="auto"/>
        <w:rPr>
          <w:color w:val="000000" w:themeColor="text1"/>
          <w14:textFill>
            <w14:solidFill>
              <w14:schemeClr w14:val="tx1"/>
            </w14:solidFill>
          </w14:textFill>
        </w:rPr>
      </w:pPr>
      <w:r>
        <w:rPr>
          <w14:ligatures w14:val="standardContextual"/>
        </w:rPr>
        <w:drawing>
          <wp:inline distT="0" distB="0" distL="0" distR="0">
            <wp:extent cx="5274310" cy="457898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74310" cy="4578985"/>
                    </a:xfrm>
                    <a:prstGeom prst="rect">
                      <a:avLst/>
                    </a:prstGeom>
                  </pic:spPr>
                </pic:pic>
              </a:graphicData>
            </a:graphic>
          </wp:inline>
        </w:drawing>
      </w:r>
    </w:p>
    <w:p w14:paraId="129981B3">
      <w:pPr>
        <w:spacing w:line="312" w:lineRule="auto"/>
        <w:ind w:left="358"/>
        <w:rPr>
          <w:b/>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.1.</w:t>
      </w:r>
      <w:r>
        <w:rPr>
          <w:b/>
          <w:color w:val="000000" w:themeColor="text1"/>
          <w14:textFill>
            <w14:solidFill>
              <w14:schemeClr w14:val="tx1"/>
            </w14:solidFill>
          </w14:textFill>
        </w:rPr>
        <w:t>3</w:t>
      </w:r>
      <w:r>
        <w:rPr>
          <w:rFonts w:hint="eastAsia"/>
          <w:b/>
          <w:color w:val="000000" w:themeColor="text1"/>
          <w14:textFill>
            <w14:solidFill>
              <w14:schemeClr w14:val="tx1"/>
            </w14:solidFill>
          </w14:textFill>
        </w:rPr>
        <w:t>系统安全要求</w:t>
      </w:r>
    </w:p>
    <w:p w14:paraId="261162E8">
      <w:pPr>
        <w:widowControl/>
        <w:numPr>
          <w:ilvl w:val="0"/>
          <w:numId w:val="3"/>
        </w:numPr>
        <w:spacing w:line="312" w:lineRule="auto"/>
        <w:ind w:left="11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制定用户权限管理和系统访问策略，保证系统安全、稳定运行。</w:t>
      </w:r>
    </w:p>
    <w:p w14:paraId="672A3C87">
      <w:pPr>
        <w:widowControl/>
        <w:numPr>
          <w:ilvl w:val="0"/>
          <w:numId w:val="3"/>
        </w:numPr>
        <w:spacing w:line="312" w:lineRule="auto"/>
        <w:ind w:left="11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PC应独立配置</w:t>
      </w:r>
      <w:r>
        <w:rPr>
          <w:rFonts w:hint="eastAsia"/>
          <w:color w:val="000000" w:themeColor="text1"/>
          <w:szCs w:val="21"/>
          <w14:textFill>
            <w14:solidFill>
              <w14:schemeClr w14:val="tx1"/>
            </w14:solidFill>
          </w14:textFill>
        </w:rPr>
        <w:t>O</w:t>
      </w:r>
      <w:r>
        <w:rPr>
          <w:color w:val="000000" w:themeColor="text1"/>
          <w:szCs w:val="21"/>
          <w14:textFill>
            <w14:solidFill>
              <w14:schemeClr w14:val="tx1"/>
            </w14:solidFill>
          </w14:textFill>
        </w:rPr>
        <w:t>PC服务器，</w:t>
      </w:r>
      <w:r>
        <w:rPr>
          <w:rFonts w:hint="eastAsia"/>
          <w:color w:val="000000" w:themeColor="text1"/>
          <w:szCs w:val="21"/>
          <w14:textFill>
            <w14:solidFill>
              <w14:schemeClr w14:val="tx1"/>
            </w14:solidFill>
          </w14:textFill>
        </w:rPr>
        <w:t>O</w:t>
      </w:r>
      <w:r>
        <w:rPr>
          <w:color w:val="000000" w:themeColor="text1"/>
          <w:szCs w:val="21"/>
          <w14:textFill>
            <w14:solidFill>
              <w14:schemeClr w14:val="tx1"/>
            </w14:solidFill>
          </w14:textFill>
        </w:rPr>
        <w:t>PC服务器与</w:t>
      </w:r>
      <w:r>
        <w:rPr>
          <w:rFonts w:hint="eastAsia"/>
          <w:color w:val="000000" w:themeColor="text1"/>
          <w:szCs w:val="21"/>
          <w14:textFill>
            <w14:solidFill>
              <w14:schemeClr w14:val="tx1"/>
            </w14:solidFill>
          </w14:textFill>
        </w:rPr>
        <w:t>A</w:t>
      </w:r>
      <w:r>
        <w:rPr>
          <w:color w:val="000000" w:themeColor="text1"/>
          <w:szCs w:val="21"/>
          <w14:textFill>
            <w14:solidFill>
              <w14:schemeClr w14:val="tx1"/>
            </w14:solidFill>
          </w14:textFill>
        </w:rPr>
        <w:t>PC系统间应加装工业防火墙。</w:t>
      </w:r>
    </w:p>
    <w:p w14:paraId="040C1E93">
      <w:pPr>
        <w:widowControl/>
        <w:numPr>
          <w:ilvl w:val="0"/>
          <w:numId w:val="3"/>
        </w:numPr>
        <w:spacing w:line="312" w:lineRule="auto"/>
        <w:ind w:left="1134"/>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项目实施不影响装置</w:t>
      </w:r>
      <w:r>
        <w:rPr>
          <w:color w:val="000000" w:themeColor="text1"/>
          <w:szCs w:val="21"/>
          <w14:textFill>
            <w14:solidFill>
              <w14:schemeClr w14:val="tx1"/>
            </w14:solidFill>
          </w14:textFill>
        </w:rPr>
        <w:t>及</w:t>
      </w:r>
      <w:r>
        <w:rPr>
          <w:rFonts w:hint="eastAsia"/>
          <w:color w:val="000000" w:themeColor="text1"/>
          <w:szCs w:val="21"/>
          <w14:textFill>
            <w14:solidFill>
              <w14:schemeClr w14:val="tx1"/>
            </w14:solidFill>
          </w14:textFill>
        </w:rPr>
        <w:t>DCS正常运行。</w:t>
      </w:r>
    </w:p>
    <w:p w14:paraId="1F317380">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2工作范围</w:t>
      </w:r>
    </w:p>
    <w:p w14:paraId="29BD8E9C">
      <w:pPr>
        <w:spacing w:line="312" w:lineRule="auto"/>
        <w:ind w:left="358"/>
        <w:rPr>
          <w:b/>
          <w:color w:val="000000" w:themeColor="text1"/>
          <w14:textFill>
            <w14:solidFill>
              <w14:schemeClr w14:val="tx1"/>
            </w14:solidFill>
          </w14:textFill>
        </w:rPr>
      </w:pPr>
      <w:r>
        <w:rPr>
          <w:b/>
          <w:color w:val="000000" w:themeColor="text1"/>
          <w14:textFill>
            <w14:solidFill>
              <w14:schemeClr w14:val="tx1"/>
            </w14:solidFill>
          </w14:textFill>
        </w:rPr>
        <w:t>5</w:t>
      </w:r>
      <w:r>
        <w:rPr>
          <w:rFonts w:hint="eastAsia"/>
          <w:b/>
          <w:color w:val="000000" w:themeColor="text1"/>
          <w14:textFill>
            <w14:solidFill>
              <w14:schemeClr w14:val="tx1"/>
            </w14:solidFill>
          </w14:textFill>
        </w:rPr>
        <w:t>.2.1供货范围</w:t>
      </w:r>
    </w:p>
    <w:p w14:paraId="6814BE9A">
      <w:pPr>
        <w:pStyle w:val="14"/>
        <w:numPr>
          <w:ilvl w:val="0"/>
          <w:numId w:val="4"/>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提供</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w:t>
      </w:r>
      <w:r>
        <w:rPr>
          <w:rFonts w:hint="eastAsia"/>
          <w:iCs/>
          <w:color w:val="000000" w:themeColor="text1"/>
          <w14:textFill>
            <w14:solidFill>
              <w14:schemeClr w14:val="tx1"/>
            </w14:solidFill>
          </w14:textFill>
        </w:rPr>
        <w:t>的先进控制系统软件包，</w:t>
      </w:r>
      <w:r>
        <w:rPr>
          <w:rFonts w:hint="eastAsia"/>
          <w:color w:val="000000" w:themeColor="text1"/>
          <w14:textFill>
            <w14:solidFill>
              <w14:schemeClr w14:val="tx1"/>
            </w14:solidFill>
          </w14:textFill>
        </w:rPr>
        <w:t>软件包必须是成熟的软件版本。</w:t>
      </w:r>
    </w:p>
    <w:p w14:paraId="2072AC07">
      <w:pPr>
        <w:pStyle w:val="14"/>
        <w:numPr>
          <w:ilvl w:val="0"/>
          <w:numId w:val="4"/>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供货商必须交付最终验收的模型原始文件。</w:t>
      </w:r>
    </w:p>
    <w:p w14:paraId="0926EFDF">
      <w:pPr>
        <w:pStyle w:val="14"/>
        <w:numPr>
          <w:ilvl w:val="0"/>
          <w:numId w:val="4"/>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供货商必须交付改动的D</w:t>
      </w:r>
      <w:r>
        <w:rPr>
          <w:color w:val="000000" w:themeColor="text1"/>
          <w14:textFill>
            <w14:solidFill>
              <w14:schemeClr w14:val="tx1"/>
            </w14:solidFill>
          </w14:textFill>
        </w:rPr>
        <w:t>CS组态文件。</w:t>
      </w:r>
    </w:p>
    <w:p w14:paraId="5B84AED1">
      <w:pPr>
        <w:pStyle w:val="14"/>
        <w:numPr>
          <w:ilvl w:val="0"/>
          <w:numId w:val="4"/>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供货商必须提供</w:t>
      </w:r>
      <w:r>
        <w:rPr>
          <w:color w:val="000000" w:themeColor="text1"/>
          <w14:textFill>
            <w14:solidFill>
              <w14:schemeClr w14:val="tx1"/>
            </w14:solidFill>
          </w14:textFill>
        </w:rPr>
        <w:t>APC</w:t>
      </w:r>
      <w:r>
        <w:rPr>
          <w:rFonts w:hint="eastAsia"/>
          <w:color w:val="000000" w:themeColor="text1"/>
          <w14:textFill>
            <w14:solidFill>
              <w14:schemeClr w14:val="tx1"/>
            </w14:solidFill>
          </w14:textFill>
        </w:rPr>
        <w:t>所涉及的DCS侧相应接口软硬件及工程服务；</w:t>
      </w:r>
    </w:p>
    <w:p w14:paraId="57953065">
      <w:pPr>
        <w:pStyle w:val="14"/>
        <w:numPr>
          <w:ilvl w:val="0"/>
          <w:numId w:val="4"/>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配套软硬件设备</w:t>
      </w:r>
    </w:p>
    <w:p w14:paraId="431271ED">
      <w:pPr>
        <w:pStyle w:val="14"/>
        <w:spacing w:line="312" w:lineRule="auto"/>
        <w:ind w:left="840"/>
        <w:rPr>
          <w:color w:val="000000" w:themeColor="text1"/>
          <w14:textFill>
            <w14:solidFill>
              <w14:schemeClr w14:val="tx1"/>
            </w14:solidFill>
          </w14:textFill>
        </w:rPr>
      </w:pPr>
      <w:r>
        <w:rPr>
          <w:rFonts w:hint="eastAsia"/>
          <w:color w:val="000000" w:themeColor="text1"/>
          <w14:textFill>
            <w14:solidFill>
              <w14:schemeClr w14:val="tx1"/>
            </w14:solidFill>
          </w14:textFill>
        </w:rPr>
        <w:t>基于本项目部署要求，提供满足招标人需求的相关软硬件，由投标人合理配置。至少应包括以下软硬件参考配置：</w:t>
      </w:r>
    </w:p>
    <w:tbl>
      <w:tblPr>
        <w:tblStyle w:val="9"/>
        <w:tblW w:w="8359" w:type="dxa"/>
        <w:tblInd w:w="0" w:type="dxa"/>
        <w:tblLayout w:type="fixed"/>
        <w:tblCellMar>
          <w:top w:w="0" w:type="dxa"/>
          <w:left w:w="0" w:type="dxa"/>
          <w:bottom w:w="0" w:type="dxa"/>
          <w:right w:w="0" w:type="dxa"/>
        </w:tblCellMar>
      </w:tblPr>
      <w:tblGrid>
        <w:gridCol w:w="472"/>
        <w:gridCol w:w="1791"/>
        <w:gridCol w:w="3686"/>
        <w:gridCol w:w="709"/>
        <w:gridCol w:w="708"/>
        <w:gridCol w:w="993"/>
      </w:tblGrid>
      <w:tr w14:paraId="68CEB926">
        <w:tblPrEx>
          <w:tblCellMar>
            <w:top w:w="0" w:type="dxa"/>
            <w:left w:w="0" w:type="dxa"/>
            <w:bottom w:w="0" w:type="dxa"/>
            <w:right w:w="0" w:type="dxa"/>
          </w:tblCellMar>
        </w:tblPrEx>
        <w:trPr>
          <w:trHeight w:val="424" w:hRule="atLeast"/>
        </w:trPr>
        <w:tc>
          <w:tcPr>
            <w:tcW w:w="472" w:type="dxa"/>
            <w:tcBorders>
              <w:top w:val="single" w:color="000000" w:sz="4" w:space="0"/>
              <w:left w:val="single" w:color="000000" w:sz="4" w:space="0"/>
              <w:bottom w:val="single" w:color="000000" w:sz="4" w:space="0"/>
              <w:right w:val="single" w:color="000000" w:sz="4" w:space="0"/>
            </w:tcBorders>
            <w:shd w:val="clear" w:color="auto" w:fill="FFCC99"/>
            <w:noWrap/>
            <w:tcMar>
              <w:top w:w="15" w:type="dxa"/>
              <w:left w:w="15" w:type="dxa"/>
              <w:right w:w="15" w:type="dxa"/>
            </w:tcMar>
            <w:vAlign w:val="center"/>
          </w:tcPr>
          <w:p w14:paraId="47B421AF">
            <w:pPr>
              <w:widowControl/>
              <w:jc w:val="center"/>
              <w:textAlignment w:val="center"/>
              <w:rPr>
                <w:rFonts w:ascii="宋体" w:hAnsi="宋体" w:cs="宋体"/>
                <w:b/>
                <w:color w:val="000000" w:themeColor="text1"/>
                <w:kern w:val="0"/>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序号</w:t>
            </w:r>
          </w:p>
        </w:tc>
        <w:tc>
          <w:tcPr>
            <w:tcW w:w="1791" w:type="dxa"/>
            <w:tcBorders>
              <w:top w:val="single" w:color="000000" w:sz="4" w:space="0"/>
              <w:left w:val="single" w:color="000000" w:sz="4" w:space="0"/>
              <w:bottom w:val="single" w:color="auto" w:sz="4" w:space="0"/>
              <w:right w:val="single" w:color="000000" w:sz="4" w:space="0"/>
            </w:tcBorders>
            <w:shd w:val="clear" w:color="auto" w:fill="FFCC99"/>
            <w:noWrap/>
            <w:tcMar>
              <w:top w:w="15" w:type="dxa"/>
              <w:left w:w="15" w:type="dxa"/>
              <w:right w:w="15" w:type="dxa"/>
            </w:tcMar>
            <w:vAlign w:val="center"/>
          </w:tcPr>
          <w:p w14:paraId="647D1535">
            <w:pPr>
              <w:widowControl/>
              <w:jc w:val="center"/>
              <w:textAlignment w:val="center"/>
              <w:rPr>
                <w:rFonts w:ascii="宋体" w:hAnsi="宋体" w:cs="宋体"/>
                <w:b/>
                <w:color w:val="000000" w:themeColor="text1"/>
                <w:kern w:val="0"/>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产品名称</w:t>
            </w:r>
          </w:p>
        </w:tc>
        <w:tc>
          <w:tcPr>
            <w:tcW w:w="3686" w:type="dxa"/>
            <w:tcBorders>
              <w:top w:val="single" w:color="000000" w:sz="4" w:space="0"/>
              <w:left w:val="single" w:color="000000" w:sz="4" w:space="0"/>
              <w:bottom w:val="single" w:color="auto" w:sz="4" w:space="0"/>
              <w:right w:val="single" w:color="000000" w:sz="4" w:space="0"/>
            </w:tcBorders>
            <w:shd w:val="clear" w:color="auto" w:fill="FFCC99"/>
            <w:noWrap/>
            <w:tcMar>
              <w:top w:w="15" w:type="dxa"/>
              <w:left w:w="15" w:type="dxa"/>
              <w:right w:w="15" w:type="dxa"/>
            </w:tcMar>
            <w:vAlign w:val="center"/>
          </w:tcPr>
          <w:p w14:paraId="2DA37BE7">
            <w:pPr>
              <w:widowControl/>
              <w:jc w:val="center"/>
              <w:textAlignment w:val="center"/>
              <w:rPr>
                <w:rFonts w:ascii="宋体" w:hAnsi="宋体" w:cs="宋体"/>
                <w:b/>
                <w:color w:val="000000" w:themeColor="text1"/>
                <w:kern w:val="0"/>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规格型号</w:t>
            </w:r>
          </w:p>
        </w:tc>
        <w:tc>
          <w:tcPr>
            <w:tcW w:w="709" w:type="dxa"/>
            <w:tcBorders>
              <w:top w:val="single" w:color="000000" w:sz="4" w:space="0"/>
              <w:left w:val="single" w:color="000000" w:sz="4" w:space="0"/>
              <w:bottom w:val="single" w:color="auto" w:sz="4" w:space="0"/>
              <w:right w:val="single" w:color="000000" w:sz="4" w:space="0"/>
            </w:tcBorders>
            <w:shd w:val="clear" w:color="auto" w:fill="FFCC99"/>
            <w:noWrap/>
            <w:tcMar>
              <w:top w:w="15" w:type="dxa"/>
              <w:left w:w="15" w:type="dxa"/>
              <w:right w:w="15" w:type="dxa"/>
            </w:tcMar>
            <w:vAlign w:val="center"/>
          </w:tcPr>
          <w:p w14:paraId="73D52B1A">
            <w:pPr>
              <w:widowControl/>
              <w:jc w:val="center"/>
              <w:textAlignment w:val="center"/>
              <w:rPr>
                <w:rFonts w:ascii="宋体" w:hAnsi="宋体" w:cs="宋体"/>
                <w:b/>
                <w:color w:val="000000" w:themeColor="text1"/>
                <w:kern w:val="0"/>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数量</w:t>
            </w:r>
          </w:p>
        </w:tc>
        <w:tc>
          <w:tcPr>
            <w:tcW w:w="708" w:type="dxa"/>
            <w:tcBorders>
              <w:top w:val="single" w:color="000000" w:sz="4" w:space="0"/>
              <w:left w:val="single" w:color="000000" w:sz="4" w:space="0"/>
              <w:bottom w:val="single" w:color="auto" w:sz="4" w:space="0"/>
              <w:right w:val="single" w:color="000000" w:sz="4" w:space="0"/>
            </w:tcBorders>
            <w:shd w:val="clear" w:color="auto" w:fill="FFCC99"/>
            <w:noWrap/>
            <w:tcMar>
              <w:top w:w="15" w:type="dxa"/>
              <w:left w:w="15" w:type="dxa"/>
              <w:right w:w="15" w:type="dxa"/>
            </w:tcMar>
            <w:vAlign w:val="center"/>
          </w:tcPr>
          <w:p w14:paraId="53E36AA6">
            <w:pPr>
              <w:widowControl/>
              <w:jc w:val="center"/>
              <w:textAlignment w:val="center"/>
              <w:rPr>
                <w:rFonts w:ascii="宋体" w:hAnsi="宋体" w:cs="宋体"/>
                <w:b/>
                <w:color w:val="000000" w:themeColor="text1"/>
                <w:kern w:val="0"/>
                <w:sz w:val="20"/>
                <w:szCs w:val="20"/>
                <w14:textFill>
                  <w14:solidFill>
                    <w14:schemeClr w14:val="tx1"/>
                  </w14:solidFill>
                </w14:textFill>
              </w:rPr>
            </w:pPr>
            <w:r>
              <w:rPr>
                <w:rFonts w:hint="eastAsia" w:ascii="宋体" w:hAnsi="宋体" w:cs="宋体"/>
                <w:b/>
                <w:color w:val="000000" w:themeColor="text1"/>
                <w:kern w:val="0"/>
                <w:sz w:val="20"/>
                <w:szCs w:val="20"/>
                <w:lang w:bidi="ar"/>
                <w14:textFill>
                  <w14:solidFill>
                    <w14:schemeClr w14:val="tx1"/>
                  </w14:solidFill>
                </w14:textFill>
              </w:rPr>
              <w:t>单位</w:t>
            </w:r>
          </w:p>
        </w:tc>
        <w:tc>
          <w:tcPr>
            <w:tcW w:w="993" w:type="dxa"/>
            <w:tcBorders>
              <w:top w:val="single" w:color="000000" w:sz="4" w:space="0"/>
              <w:left w:val="single" w:color="000000" w:sz="4" w:space="0"/>
              <w:bottom w:val="single" w:color="000000" w:sz="4" w:space="0"/>
              <w:right w:val="single" w:color="000000" w:sz="4" w:space="0"/>
            </w:tcBorders>
            <w:shd w:val="clear" w:color="auto" w:fill="FFCC99"/>
            <w:noWrap/>
            <w:tcMar>
              <w:top w:w="15" w:type="dxa"/>
              <w:left w:w="15" w:type="dxa"/>
              <w:right w:w="15" w:type="dxa"/>
            </w:tcMar>
            <w:vAlign w:val="center"/>
          </w:tcPr>
          <w:p w14:paraId="567F32DA">
            <w:pPr>
              <w:widowControl/>
              <w:jc w:val="center"/>
              <w:textAlignment w:val="center"/>
              <w:rPr>
                <w:rFonts w:ascii="宋体" w:hAnsi="宋体" w:cs="宋体"/>
                <w:b/>
                <w:color w:val="000000" w:themeColor="text1"/>
                <w:kern w:val="0"/>
                <w:sz w:val="20"/>
                <w:szCs w:val="20"/>
                <w14:textFill>
                  <w14:solidFill>
                    <w14:schemeClr w14:val="tx1"/>
                  </w14:solidFill>
                </w14:textFill>
              </w:rPr>
            </w:pPr>
            <w:r>
              <w:rPr>
                <w:rFonts w:hint="eastAsia" w:ascii="宋体" w:hAnsi="宋体" w:cs="宋体"/>
                <w:b/>
                <w:color w:val="000000" w:themeColor="text1"/>
                <w:kern w:val="0"/>
                <w:sz w:val="20"/>
                <w:szCs w:val="20"/>
                <w14:textFill>
                  <w14:solidFill>
                    <w14:schemeClr w14:val="tx1"/>
                  </w14:solidFill>
                </w14:textFill>
              </w:rPr>
              <w:t>备注</w:t>
            </w:r>
          </w:p>
        </w:tc>
      </w:tr>
      <w:tr w14:paraId="45AC80C3">
        <w:tblPrEx>
          <w:tblCellMar>
            <w:top w:w="0" w:type="dxa"/>
            <w:left w:w="0" w:type="dxa"/>
            <w:bottom w:w="0" w:type="dxa"/>
            <w:right w:w="0" w:type="dxa"/>
          </w:tblCellMar>
        </w:tblPrEx>
        <w:trPr>
          <w:trHeight w:val="644" w:hRule="atLeast"/>
        </w:trPr>
        <w:tc>
          <w:tcPr>
            <w:tcW w:w="472"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14:paraId="5DA1CC7B">
            <w:pPr>
              <w:widowControl/>
              <w:jc w:val="center"/>
              <w:textAlignment w:val="center"/>
              <w:rPr>
                <w:color w:val="000000" w:themeColor="text1"/>
                <w:kern w:val="0"/>
                <w:sz w:val="20"/>
                <w:szCs w:val="20"/>
                <w14:textFill>
                  <w14:solidFill>
                    <w14:schemeClr w14:val="tx1"/>
                  </w14:solidFill>
                </w14:textFill>
              </w:rPr>
            </w:pPr>
            <w:r>
              <w:rPr>
                <w:color w:val="000000" w:themeColor="text1"/>
                <w:kern w:val="0"/>
                <w:sz w:val="20"/>
                <w:szCs w:val="20"/>
                <w:lang w:bidi="ar"/>
                <w14:textFill>
                  <w14:solidFill>
                    <w14:schemeClr w14:val="tx1"/>
                  </w14:solidFill>
                </w14:textFill>
              </w:rPr>
              <w:t>1</w:t>
            </w:r>
          </w:p>
        </w:tc>
        <w:tc>
          <w:tcPr>
            <w:tcW w:w="179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2E772F">
            <w:pPr>
              <w:widowControl/>
              <w:jc w:val="center"/>
              <w:textAlignment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O</w:t>
            </w:r>
            <w:r>
              <w:rPr>
                <w:rFonts w:ascii="宋体" w:hAnsi="宋体" w:cs="宋体"/>
                <w:color w:val="000000" w:themeColor="text1"/>
                <w:kern w:val="0"/>
                <w:sz w:val="20"/>
                <w:szCs w:val="20"/>
                <w:lang w:bidi="ar"/>
                <w14:textFill>
                  <w14:solidFill>
                    <w14:schemeClr w14:val="tx1"/>
                  </w14:solidFill>
                </w14:textFill>
              </w:rPr>
              <w:t>PC服务器</w:t>
            </w:r>
          </w:p>
        </w:tc>
        <w:tc>
          <w:tcPr>
            <w:tcW w:w="3686"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9EFA26">
            <w:pPr>
              <w:widowControl/>
              <w:jc w:val="left"/>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lang w:bidi="ar"/>
                <w14:textFill>
                  <w14:solidFill>
                    <w14:schemeClr w14:val="tx1"/>
                  </w14:solidFill>
                </w14:textFill>
              </w:rPr>
              <w:t>艾默生Delta V OPC接口（包含服务器、OPC授权、安装服务等）</w:t>
            </w:r>
          </w:p>
        </w:tc>
        <w:tc>
          <w:tcPr>
            <w:tcW w:w="70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EF66DD">
            <w:pPr>
              <w:widowControl/>
              <w:jc w:val="center"/>
              <w:textAlignment w:val="center"/>
              <w:rPr>
                <w:color w:val="000000" w:themeColor="text1"/>
                <w:kern w:val="0"/>
                <w:sz w:val="20"/>
                <w:szCs w:val="20"/>
                <w14:textFill>
                  <w14:solidFill>
                    <w14:schemeClr w14:val="tx1"/>
                  </w14:solidFill>
                </w14:textFill>
              </w:rPr>
            </w:pPr>
            <w:r>
              <w:rPr>
                <w:color w:val="000000" w:themeColor="text1"/>
                <w:kern w:val="0"/>
                <w:sz w:val="20"/>
                <w:szCs w:val="20"/>
                <w:lang w:bidi="ar"/>
                <w14:textFill>
                  <w14:solidFill>
                    <w14:schemeClr w14:val="tx1"/>
                  </w14:solidFill>
                </w14:textFill>
              </w:rPr>
              <w:t>1</w:t>
            </w:r>
          </w:p>
        </w:tc>
        <w:tc>
          <w:tcPr>
            <w:tcW w:w="70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C49E4B5">
            <w:pPr>
              <w:widowControl/>
              <w:jc w:val="center"/>
              <w:textAlignment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93"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center"/>
          </w:tcPr>
          <w:p w14:paraId="59D7C4FA">
            <w:pPr>
              <w:widowControl/>
              <w:jc w:val="center"/>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同性能或以上配置</w:t>
            </w:r>
          </w:p>
        </w:tc>
      </w:tr>
      <w:tr w14:paraId="74581657">
        <w:tblPrEx>
          <w:tblCellMar>
            <w:top w:w="0" w:type="dxa"/>
            <w:left w:w="0" w:type="dxa"/>
            <w:bottom w:w="0" w:type="dxa"/>
            <w:right w:w="0" w:type="dxa"/>
          </w:tblCellMar>
        </w:tblPrEx>
        <w:trPr>
          <w:trHeight w:val="500"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49FCC">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2</w:t>
            </w:r>
          </w:p>
        </w:tc>
        <w:tc>
          <w:tcPr>
            <w:tcW w:w="1791"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2F840">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A</w:t>
            </w:r>
            <w:r>
              <w:rPr>
                <w:color w:val="000000" w:themeColor="text1"/>
                <w:kern w:val="0"/>
                <w:sz w:val="20"/>
                <w:szCs w:val="20"/>
                <w:lang w:bidi="ar"/>
                <w14:textFill>
                  <w14:solidFill>
                    <w14:schemeClr w14:val="tx1"/>
                  </w14:solidFill>
                </w14:textFill>
              </w:rPr>
              <w:t>PC服务器</w:t>
            </w:r>
          </w:p>
        </w:tc>
        <w:tc>
          <w:tcPr>
            <w:tcW w:w="3686"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7C8FD">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DELL T550：</w:t>
            </w:r>
          </w:p>
          <w:p w14:paraId="11FA905C">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1*银牌4309Y（2.8GHz, 8C）/2*32G/3*2T NLSAS/H745/DVDRW/冗余电源600W/四端口千兆网卡/键鼠套装/不含操作系统/3年服务/兼容Windows Server 2022标准版，并配套显示器（</w:t>
            </w:r>
            <w:r>
              <w:rPr>
                <w:color w:val="000000" w:themeColor="text1"/>
                <w:kern w:val="0"/>
                <w:sz w:val="20"/>
                <w:szCs w:val="20"/>
                <w:lang w:bidi="ar"/>
                <w14:textFill>
                  <w14:solidFill>
                    <w14:schemeClr w14:val="tx1"/>
                  </w14:solidFill>
                </w14:textFill>
              </w:rPr>
              <w:t>24″LED显示器（宽屏16:9），黑色外框，IPS，最大分辨率1920×1080，VGA+DP，标配一根DP线</w:t>
            </w:r>
            <w:r>
              <w:rPr>
                <w:rFonts w:hint="eastAsia"/>
                <w:color w:val="000000" w:themeColor="text1"/>
                <w:kern w:val="0"/>
                <w:sz w:val="20"/>
                <w:szCs w:val="20"/>
                <w:lang w:bidi="ar"/>
                <w14:textFill>
                  <w14:solidFill>
                    <w14:schemeClr w14:val="tx1"/>
                  </w14:solidFill>
                </w14:textFill>
              </w:rPr>
              <w:t>）。</w:t>
            </w:r>
          </w:p>
        </w:tc>
        <w:tc>
          <w:tcPr>
            <w:tcW w:w="709"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0DC7B">
            <w:pPr>
              <w:widowControl/>
              <w:jc w:val="center"/>
              <w:textAlignment w:val="center"/>
              <w:rPr>
                <w:color w:val="000000" w:themeColor="text1"/>
                <w:kern w:val="0"/>
                <w:sz w:val="20"/>
                <w:szCs w:val="20"/>
                <w14:textFill>
                  <w14:solidFill>
                    <w14:schemeClr w14:val="tx1"/>
                  </w14:solidFill>
                </w14:textFill>
              </w:rPr>
            </w:pPr>
            <w:r>
              <w:rPr>
                <w:color w:val="000000" w:themeColor="text1"/>
                <w:kern w:val="0"/>
                <w:sz w:val="20"/>
                <w:szCs w:val="20"/>
                <w:lang w:bidi="ar"/>
                <w14:textFill>
                  <w14:solidFill>
                    <w14:schemeClr w14:val="tx1"/>
                  </w14:solidFill>
                </w14:textFill>
              </w:rPr>
              <w:t>1</w:t>
            </w:r>
          </w:p>
        </w:tc>
        <w:tc>
          <w:tcPr>
            <w:tcW w:w="708" w:type="dxa"/>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74A53">
            <w:pPr>
              <w:widowControl/>
              <w:jc w:val="center"/>
              <w:textAlignment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B44B8">
            <w:pPr>
              <w:widowControl/>
              <w:jc w:val="center"/>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同性能或以上配置</w:t>
            </w:r>
          </w:p>
        </w:tc>
      </w:tr>
      <w:tr w14:paraId="1F42641E">
        <w:tblPrEx>
          <w:tblCellMar>
            <w:top w:w="0" w:type="dxa"/>
            <w:left w:w="0" w:type="dxa"/>
            <w:bottom w:w="0" w:type="dxa"/>
            <w:right w:w="0" w:type="dxa"/>
          </w:tblCellMar>
        </w:tblPrEx>
        <w:trPr>
          <w:trHeight w:val="869"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53ECD">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3</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7456C">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操作站</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EF8F5">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DELL T5860</w:t>
            </w:r>
            <w:r>
              <w:rPr>
                <w:color w:val="000000" w:themeColor="text1"/>
                <w:kern w:val="0"/>
                <w:sz w:val="20"/>
                <w:szCs w:val="20"/>
                <w:lang w:bidi="ar"/>
                <w14:textFill>
                  <w14:solidFill>
                    <w14:schemeClr w14:val="tx1"/>
                  </w14:solidFill>
                </w14:textFill>
              </w:rPr>
              <w:t>:</w:t>
            </w:r>
            <w:r>
              <w:rPr>
                <w:rFonts w:hint="eastAsia"/>
                <w:color w:val="000000" w:themeColor="text1"/>
                <w:kern w:val="0"/>
                <w:sz w:val="20"/>
                <w:szCs w:val="20"/>
                <w:lang w:bidi="ar"/>
                <w14:textFill>
                  <w14:solidFill>
                    <w14:schemeClr w14:val="tx1"/>
                  </w14:solidFill>
                </w14:textFill>
              </w:rPr>
              <w:t>：</w:t>
            </w:r>
            <w:r>
              <w:rPr>
                <w:color w:val="000000" w:themeColor="text1"/>
                <w:kern w:val="0"/>
                <w:sz w:val="20"/>
                <w:szCs w:val="20"/>
                <w:lang w:bidi="ar"/>
                <w14:textFill>
                  <w14:solidFill>
                    <w14:schemeClr w14:val="tx1"/>
                  </w14:solidFill>
                </w14:textFill>
              </w:rPr>
              <w:t>In</w:t>
            </w:r>
            <w:r>
              <w:rPr>
                <w:rFonts w:hint="eastAsia"/>
                <w:color w:val="000000" w:themeColor="text1"/>
                <w:kern w:val="0"/>
                <w:sz w:val="20"/>
                <w:szCs w:val="20"/>
                <w:lang w:bidi="ar"/>
                <w14:textFill>
                  <w14:solidFill>
                    <w14:schemeClr w14:val="tx1"/>
                  </w14:solidFill>
                </w14:textFill>
              </w:rPr>
              <w:t>t</w:t>
            </w:r>
            <w:r>
              <w:rPr>
                <w:color w:val="000000" w:themeColor="text1"/>
                <w:kern w:val="0"/>
                <w:sz w:val="20"/>
                <w:szCs w:val="20"/>
                <w:lang w:bidi="ar"/>
                <w14:textFill>
                  <w14:solidFill>
                    <w14:schemeClr w14:val="tx1"/>
                  </w14:solidFill>
                </w14:textFill>
              </w:rPr>
              <w:t>el X</w:t>
            </w:r>
            <w:r>
              <w:rPr>
                <w:rFonts w:hint="eastAsia"/>
                <w:color w:val="000000" w:themeColor="text1"/>
                <w:kern w:val="0"/>
                <w:sz w:val="20"/>
                <w:szCs w:val="20"/>
                <w:lang w:bidi="ar"/>
                <w14:textFill>
                  <w14:solidFill>
                    <w14:schemeClr w14:val="tx1"/>
                  </w14:solidFill>
                </w14:textFill>
              </w:rPr>
              <w:t>one</w:t>
            </w:r>
            <w:r>
              <w:rPr>
                <w:color w:val="000000" w:themeColor="text1"/>
                <w:kern w:val="0"/>
                <w:sz w:val="20"/>
                <w:szCs w:val="20"/>
                <w:lang w:bidi="ar"/>
                <w14:textFill>
                  <w14:solidFill>
                    <w14:schemeClr w14:val="tx1"/>
                  </w14:solidFill>
                </w14:textFill>
              </w:rPr>
              <w:t xml:space="preserve"> </w:t>
            </w:r>
            <w:r>
              <w:rPr>
                <w:rFonts w:hint="eastAsia"/>
                <w:color w:val="000000" w:themeColor="text1"/>
                <w:kern w:val="0"/>
                <w:sz w:val="20"/>
                <w:szCs w:val="20"/>
                <w:lang w:bidi="ar"/>
                <w14:textFill>
                  <w14:solidFill>
                    <w14:schemeClr w14:val="tx1"/>
                  </w14:solidFill>
                </w14:textFill>
              </w:rPr>
              <w:t>W3-2425(6C</w:t>
            </w:r>
            <w:r>
              <w:rPr>
                <w:color w:val="000000" w:themeColor="text1"/>
                <w:kern w:val="0"/>
                <w:sz w:val="20"/>
                <w:szCs w:val="20"/>
                <w:lang w:bidi="ar"/>
                <w14:textFill>
                  <w14:solidFill>
                    <w14:schemeClr w14:val="tx1"/>
                  </w14:solidFill>
                </w14:textFill>
              </w:rPr>
              <w:t>-</w:t>
            </w:r>
            <w:r>
              <w:rPr>
                <w:rFonts w:hint="eastAsia"/>
                <w:color w:val="000000" w:themeColor="text1"/>
                <w:kern w:val="0"/>
                <w:sz w:val="20"/>
                <w:szCs w:val="20"/>
                <w:lang w:bidi="ar"/>
                <w14:textFill>
                  <w14:solidFill>
                    <w14:schemeClr w14:val="tx1"/>
                  </w14:solidFill>
                </w14:textFill>
              </w:rPr>
              <w:t>3.0GHz)/2×16G/2×2TBSSD/RAID</w:t>
            </w:r>
            <w:r>
              <w:rPr>
                <w:color w:val="000000" w:themeColor="text1"/>
                <w:kern w:val="0"/>
                <w:sz w:val="20"/>
                <w:szCs w:val="20"/>
                <w:lang w:bidi="ar"/>
                <w14:textFill>
                  <w14:solidFill>
                    <w14:schemeClr w14:val="tx1"/>
                  </w14:solidFill>
                </w14:textFill>
              </w:rPr>
              <w:t>-</w:t>
            </w:r>
            <w:r>
              <w:rPr>
                <w:rFonts w:hint="eastAsia"/>
                <w:color w:val="000000" w:themeColor="text1"/>
                <w:kern w:val="0"/>
                <w:sz w:val="20"/>
                <w:szCs w:val="20"/>
                <w:lang w:bidi="ar"/>
                <w14:textFill>
                  <w14:solidFill>
                    <w14:schemeClr w14:val="tx1"/>
                  </w14:solidFill>
                </w14:textFill>
              </w:rPr>
              <w:t>1/DVD-RW/1 块集成千兆网卡+1 块集成万兆网卡+2 块独立千兆单口网卡/1mDP-DP 转接头/兼容Windows 10</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195BC">
            <w:pPr>
              <w:widowControl/>
              <w:jc w:val="center"/>
              <w:textAlignment w:val="center"/>
              <w:rPr>
                <w:color w:val="000000" w:themeColor="text1"/>
                <w:kern w:val="0"/>
                <w:sz w:val="20"/>
                <w:szCs w:val="20"/>
                <w14:textFill>
                  <w14:solidFill>
                    <w14:schemeClr w14:val="tx1"/>
                  </w14:solidFill>
                </w14:textFill>
              </w:rPr>
            </w:pPr>
            <w:r>
              <w:rPr>
                <w:color w:val="000000" w:themeColor="text1"/>
                <w:kern w:val="0"/>
                <w:sz w:val="20"/>
                <w:szCs w:val="20"/>
                <w:lang w:bidi="ar"/>
                <w14:textFill>
                  <w14:solidFill>
                    <w14:schemeClr w14:val="tx1"/>
                  </w14:solidFill>
                </w14:textFill>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A391F">
            <w:pPr>
              <w:widowControl/>
              <w:jc w:val="center"/>
              <w:textAlignment w:val="center"/>
              <w:rPr>
                <w:rFonts w:ascii="宋体" w:hAnsi="宋体" w:cs="宋体"/>
                <w:color w:val="000000" w:themeColor="text1"/>
                <w:kern w:val="0"/>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E1C59">
            <w:pPr>
              <w:widowControl/>
              <w:jc w:val="center"/>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同性能或以上配置</w:t>
            </w:r>
          </w:p>
        </w:tc>
      </w:tr>
      <w:tr w14:paraId="7C86BA27">
        <w:tblPrEx>
          <w:tblCellMar>
            <w:top w:w="0" w:type="dxa"/>
            <w:left w:w="0" w:type="dxa"/>
            <w:bottom w:w="0" w:type="dxa"/>
            <w:right w:w="0" w:type="dxa"/>
          </w:tblCellMar>
        </w:tblPrEx>
        <w:trPr>
          <w:trHeight w:val="555"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49AC7">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4</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27511">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O</w:t>
            </w:r>
            <w:r>
              <w:rPr>
                <w:color w:val="000000" w:themeColor="text1"/>
                <w:kern w:val="0"/>
                <w:sz w:val="20"/>
                <w:szCs w:val="20"/>
                <w:lang w:bidi="ar"/>
                <w14:textFill>
                  <w14:solidFill>
                    <w14:schemeClr w14:val="tx1"/>
                  </w14:solidFill>
                </w14:textFill>
              </w:rPr>
              <w:t>PC点数</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216E5">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艾默生O</w:t>
            </w:r>
            <w:r>
              <w:rPr>
                <w:color w:val="000000" w:themeColor="text1"/>
                <w:kern w:val="0"/>
                <w:sz w:val="20"/>
                <w:szCs w:val="20"/>
                <w:lang w:bidi="ar"/>
                <w14:textFill>
                  <w14:solidFill>
                    <w14:schemeClr w14:val="tx1"/>
                  </w14:solidFill>
                </w14:textFill>
              </w:rPr>
              <w:t>PC点数授权</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523A2">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3500</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4F2E4">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点</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6E406">
            <w:pPr>
              <w:widowControl/>
              <w:jc w:val="center"/>
              <w:textAlignment w:val="center"/>
              <w:rPr>
                <w:color w:val="000000" w:themeColor="text1"/>
                <w:kern w:val="0"/>
                <w:sz w:val="20"/>
                <w:szCs w:val="20"/>
                <w14:textFill>
                  <w14:solidFill>
                    <w14:schemeClr w14:val="tx1"/>
                  </w14:solidFill>
                </w14:textFill>
              </w:rPr>
            </w:pPr>
          </w:p>
        </w:tc>
      </w:tr>
      <w:tr w14:paraId="51E48F5E">
        <w:tblPrEx>
          <w:tblCellMar>
            <w:top w:w="0" w:type="dxa"/>
            <w:left w:w="0" w:type="dxa"/>
            <w:bottom w:w="0" w:type="dxa"/>
            <w:right w:w="0" w:type="dxa"/>
          </w:tblCellMar>
        </w:tblPrEx>
        <w:trPr>
          <w:trHeight w:val="549"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73DA0">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5</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40069">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操作系统</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09B74">
            <w:pPr>
              <w:widowControl/>
              <w:jc w:val="left"/>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Microsoft Windows 20</w:t>
            </w:r>
            <w:r>
              <w:rPr>
                <w:rFonts w:hint="eastAsia"/>
                <w:color w:val="000000" w:themeColor="text1"/>
                <w:kern w:val="0"/>
                <w:sz w:val="20"/>
                <w:szCs w:val="20"/>
                <w:lang w:bidi="ar"/>
                <w14:textFill>
                  <w14:solidFill>
                    <w14:schemeClr w14:val="tx1"/>
                  </w14:solidFill>
                </w14:textFill>
              </w:rPr>
              <w:t>22</w:t>
            </w:r>
            <w:r>
              <w:rPr>
                <w:color w:val="000000" w:themeColor="text1"/>
                <w:kern w:val="0"/>
                <w:sz w:val="20"/>
                <w:szCs w:val="20"/>
                <w:lang w:bidi="ar"/>
                <w14:textFill>
                  <w14:solidFill>
                    <w14:schemeClr w14:val="tx1"/>
                  </w14:solidFill>
                </w14:textFill>
              </w:rPr>
              <w:t xml:space="preserve"> Server中文标准版</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88CC7">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D8DC0">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3E853">
            <w:pPr>
              <w:widowControl/>
              <w:jc w:val="center"/>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同性能或以上配置</w:t>
            </w:r>
          </w:p>
        </w:tc>
      </w:tr>
      <w:tr w14:paraId="301DC9F5">
        <w:tblPrEx>
          <w:tblCellMar>
            <w:top w:w="0" w:type="dxa"/>
            <w:left w:w="0" w:type="dxa"/>
            <w:bottom w:w="0" w:type="dxa"/>
            <w:right w:w="0" w:type="dxa"/>
          </w:tblCellMar>
        </w:tblPrEx>
        <w:trPr>
          <w:trHeight w:val="543"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4C95D">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6</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DE1E1">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交换机</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F608F">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2</w:t>
            </w:r>
            <w:r>
              <w:rPr>
                <w:color w:val="000000" w:themeColor="text1"/>
                <w:kern w:val="0"/>
                <w:sz w:val="20"/>
                <w:szCs w:val="20"/>
                <w:lang w:bidi="ar"/>
                <w14:textFill>
                  <w14:solidFill>
                    <w14:schemeClr w14:val="tx1"/>
                  </w14:solidFill>
                </w14:textFill>
              </w:rPr>
              <w:t>4口三层交换机，用于工控网网络通讯</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83666">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BC8D6">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4953B">
            <w:pPr>
              <w:widowControl/>
              <w:jc w:val="center"/>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同性能或以上配置</w:t>
            </w:r>
          </w:p>
        </w:tc>
      </w:tr>
      <w:tr w14:paraId="6E77B4CB">
        <w:tblPrEx>
          <w:tblCellMar>
            <w:top w:w="0" w:type="dxa"/>
            <w:left w:w="0" w:type="dxa"/>
            <w:bottom w:w="0" w:type="dxa"/>
            <w:right w:w="0" w:type="dxa"/>
          </w:tblCellMar>
        </w:tblPrEx>
        <w:trPr>
          <w:trHeight w:val="537"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4E002">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7</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26A18">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工业防火墙</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CEB7E">
            <w:pPr>
              <w:widowControl/>
              <w:jc w:val="left"/>
              <w:textAlignment w:val="center"/>
              <w:rPr>
                <w:color w:val="000000" w:themeColor="text1"/>
                <w:kern w:val="0"/>
                <w:sz w:val="20"/>
                <w:szCs w:val="20"/>
                <w:lang w:bidi="ar"/>
                <w14:textFill>
                  <w14:solidFill>
                    <w14:schemeClr w14:val="tx1"/>
                  </w14:solidFill>
                </w14:textFill>
              </w:rPr>
            </w:pP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31345">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71762">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台</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8D1DC">
            <w:pPr>
              <w:widowControl/>
              <w:textAlignment w:val="center"/>
              <w:rPr>
                <w:color w:val="000000" w:themeColor="text1"/>
                <w:kern w:val="0"/>
                <w:sz w:val="20"/>
                <w:szCs w:val="20"/>
                <w14:textFill>
                  <w14:solidFill>
                    <w14:schemeClr w14:val="tx1"/>
                  </w14:solidFill>
                </w14:textFill>
              </w:rPr>
            </w:pPr>
          </w:p>
        </w:tc>
      </w:tr>
      <w:tr w14:paraId="3234447B">
        <w:tblPrEx>
          <w:tblCellMar>
            <w:top w:w="0" w:type="dxa"/>
            <w:left w:w="0" w:type="dxa"/>
            <w:bottom w:w="0" w:type="dxa"/>
            <w:right w:w="0" w:type="dxa"/>
          </w:tblCellMar>
        </w:tblPrEx>
        <w:trPr>
          <w:trHeight w:val="673"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E3AEF">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8</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27B52C">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服务器机柜（操作台）</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E32BF">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根据现场实际布置需求配备（定制）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DBA74">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6D1BA">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件</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8A164">
            <w:pPr>
              <w:widowControl/>
              <w:jc w:val="center"/>
              <w:textAlignment w:val="center"/>
              <w:rPr>
                <w:color w:val="000000" w:themeColor="text1"/>
                <w:kern w:val="0"/>
                <w:sz w:val="20"/>
                <w:szCs w:val="20"/>
                <w14:textFill>
                  <w14:solidFill>
                    <w14:schemeClr w14:val="tx1"/>
                  </w14:solidFill>
                </w14:textFill>
              </w:rPr>
            </w:pPr>
            <w:r>
              <w:rPr>
                <w:rFonts w:hint="eastAsia"/>
                <w:color w:val="000000" w:themeColor="text1"/>
                <w:kern w:val="0"/>
                <w:sz w:val="20"/>
                <w:szCs w:val="20"/>
                <w14:textFill>
                  <w14:solidFill>
                    <w14:schemeClr w14:val="tx1"/>
                  </w14:solidFill>
                </w14:textFill>
              </w:rPr>
              <w:t>同性能或以上配置</w:t>
            </w:r>
          </w:p>
        </w:tc>
      </w:tr>
      <w:tr w14:paraId="22C5BB62">
        <w:tblPrEx>
          <w:tblCellMar>
            <w:top w:w="0" w:type="dxa"/>
            <w:left w:w="0" w:type="dxa"/>
            <w:bottom w:w="0" w:type="dxa"/>
            <w:right w:w="0" w:type="dxa"/>
          </w:tblCellMar>
        </w:tblPrEx>
        <w:trPr>
          <w:trHeight w:val="683" w:hRule="atLeast"/>
        </w:trPr>
        <w:tc>
          <w:tcPr>
            <w:tcW w:w="4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4E661">
            <w:pPr>
              <w:widowControl/>
              <w:jc w:val="center"/>
              <w:textAlignment w:val="center"/>
              <w:rPr>
                <w:color w:val="000000" w:themeColor="text1"/>
                <w:kern w:val="0"/>
                <w:sz w:val="20"/>
                <w:szCs w:val="20"/>
                <w:lang w:bidi="ar"/>
                <w14:textFill>
                  <w14:solidFill>
                    <w14:schemeClr w14:val="tx1"/>
                  </w14:solidFill>
                </w14:textFill>
              </w:rPr>
            </w:pPr>
            <w:r>
              <w:rPr>
                <w:color w:val="000000" w:themeColor="text1"/>
                <w:kern w:val="0"/>
                <w:sz w:val="20"/>
                <w:szCs w:val="20"/>
                <w:lang w:bidi="ar"/>
                <w14:textFill>
                  <w14:solidFill>
                    <w14:schemeClr w14:val="tx1"/>
                  </w14:solidFill>
                </w14:textFill>
              </w:rPr>
              <w:t>9</w:t>
            </w:r>
          </w:p>
        </w:tc>
        <w:tc>
          <w:tcPr>
            <w:tcW w:w="179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26DF17">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先进控制软件包</w:t>
            </w:r>
          </w:p>
        </w:tc>
        <w:tc>
          <w:tcPr>
            <w:tcW w:w="36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97CFA">
            <w:pPr>
              <w:widowControl/>
              <w:jc w:val="left"/>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软件授权期不低于2</w:t>
            </w:r>
            <w:r>
              <w:rPr>
                <w:color w:val="000000" w:themeColor="text1"/>
                <w:kern w:val="0"/>
                <w:sz w:val="20"/>
                <w:szCs w:val="20"/>
                <w:lang w:bidi="ar"/>
                <w14:textFill>
                  <w14:solidFill>
                    <w14:schemeClr w14:val="tx1"/>
                  </w14:solidFill>
                </w14:textFill>
              </w:rPr>
              <w:t>0年</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C53F7">
            <w:pPr>
              <w:widowControl/>
              <w:jc w:val="center"/>
              <w:textAlignment w:val="center"/>
              <w:rPr>
                <w:color w:val="000000" w:themeColor="text1"/>
                <w:kern w:val="0"/>
                <w:sz w:val="20"/>
                <w:szCs w:val="20"/>
                <w:lang w:bidi="ar"/>
                <w14:textFill>
                  <w14:solidFill>
                    <w14:schemeClr w14:val="tx1"/>
                  </w14:solidFill>
                </w14:textFill>
              </w:rPr>
            </w:pPr>
            <w:r>
              <w:rPr>
                <w:rFonts w:hint="eastAsia"/>
                <w:color w:val="000000" w:themeColor="text1"/>
                <w:kern w:val="0"/>
                <w:sz w:val="20"/>
                <w:szCs w:val="20"/>
                <w:lang w:bidi="ar"/>
                <w14:textFill>
                  <w14:solidFill>
                    <w14:schemeClr w14:val="tx1"/>
                  </w14:solidFill>
                </w14:textFill>
              </w:rPr>
              <w:t>1</w:t>
            </w:r>
          </w:p>
        </w:tc>
        <w:tc>
          <w:tcPr>
            <w:tcW w:w="7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E2012">
            <w:pPr>
              <w:widowControl/>
              <w:jc w:val="center"/>
              <w:textAlignment w:val="center"/>
              <w:rPr>
                <w:rFonts w:ascii="宋体" w:hAnsi="宋体" w:cs="宋体"/>
                <w:color w:val="000000" w:themeColor="text1"/>
                <w:kern w:val="0"/>
                <w:sz w:val="20"/>
                <w:szCs w:val="20"/>
                <w:lang w:bidi="ar"/>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套</w:t>
            </w: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11740">
            <w:pPr>
              <w:widowControl/>
              <w:jc w:val="center"/>
              <w:textAlignment w:val="center"/>
              <w:rPr>
                <w:b/>
                <w:color w:val="000000" w:themeColor="text1"/>
                <w:kern w:val="0"/>
                <w:sz w:val="20"/>
                <w:szCs w:val="20"/>
                <w14:textFill>
                  <w14:solidFill>
                    <w14:schemeClr w14:val="tx1"/>
                  </w14:solidFill>
                </w14:textFill>
              </w:rPr>
            </w:pPr>
          </w:p>
        </w:tc>
      </w:tr>
    </w:tbl>
    <w:p w14:paraId="59357294">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.2.2技术服务</w:t>
      </w:r>
    </w:p>
    <w:p w14:paraId="6B0ED41C">
      <w:pPr>
        <w:spacing w:line="312" w:lineRule="auto"/>
        <w:ind w:firstLine="422" w:firstLineChars="200"/>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先进控制系统实施服务：</w:t>
      </w:r>
    </w:p>
    <w:p w14:paraId="7F5CFB89">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结合本项目的各项要求，投标方应选派具备专业技术能力的专家，完成450万吨/年PTA装置</w:t>
      </w:r>
      <w:r>
        <w:rPr>
          <w:rFonts w:hint="eastAsia"/>
          <w:iCs/>
          <w:color w:val="000000" w:themeColor="text1"/>
          <w14:textFill>
            <w14:solidFill>
              <w14:schemeClr w14:val="tx1"/>
            </w14:solidFill>
          </w14:textFill>
        </w:rPr>
        <w:t>先进控制系统</w:t>
      </w:r>
      <w:r>
        <w:rPr>
          <w:rFonts w:hint="eastAsia"/>
          <w:color w:val="000000" w:themeColor="text1"/>
          <w14:textFill>
            <w14:solidFill>
              <w14:schemeClr w14:val="tx1"/>
            </w14:solidFill>
          </w14:textFill>
        </w:rPr>
        <w:t>实施工作。实施服务商提供的主要服务内容如下：</w:t>
      </w:r>
    </w:p>
    <w:p w14:paraId="799255A5">
      <w:pPr>
        <w:spacing w:line="312" w:lineRule="auto"/>
        <w:ind w:firstLine="420" w:firstLineChars="200"/>
        <w:rPr>
          <w:color w:val="000000" w:themeColor="text1"/>
          <w14:textFill>
            <w14:solidFill>
              <w14:schemeClr w14:val="tx1"/>
            </w14:solidFill>
          </w14:textFill>
        </w:rPr>
      </w:pPr>
      <w:bookmarkStart w:id="0" w:name="_Toc137626446"/>
      <w:r>
        <w:rPr>
          <w:rFonts w:hint="eastAsia"/>
          <w:color w:val="000000" w:themeColor="text1"/>
          <w14:textFill>
            <w14:solidFill>
              <w14:schemeClr w14:val="tx1"/>
            </w14:solidFill>
          </w14:textFill>
        </w:rPr>
        <w:t>（1）</w:t>
      </w:r>
      <w:r>
        <w:rPr>
          <w:color w:val="000000" w:themeColor="text1"/>
          <w14:textFill>
            <w14:solidFill>
              <w14:schemeClr w14:val="tx1"/>
            </w14:solidFill>
          </w14:textFill>
        </w:rPr>
        <w:t>项目前期准备</w:t>
      </w:r>
      <w:bookmarkEnd w:id="0"/>
    </w:p>
    <w:p w14:paraId="7DECA09C">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为确保项目的顺利实施，项目将成立专门的项目实施小组并指定项目经理。为完成项目开工会的各项准备工作，项目小组将首先召开内部会议，审查项目方案内容及合同的范围和条款。项目的执行策略、相应的技术及开工会的框架结构都在将内部会议上确立，以便项目开工会届时更加高效。</w:t>
      </w:r>
      <w:r>
        <w:rPr>
          <w:color w:val="000000" w:themeColor="text1"/>
          <w14:textFill>
            <w14:solidFill>
              <w14:schemeClr w14:val="tx1"/>
            </w14:solidFill>
          </w14:textFill>
        </w:rPr>
        <w:t xml:space="preserve"> </w:t>
      </w:r>
    </w:p>
    <w:p w14:paraId="4ED3E004">
      <w:pPr>
        <w:spacing w:line="312" w:lineRule="auto"/>
        <w:ind w:firstLine="420" w:firstLineChars="200"/>
        <w:rPr>
          <w:color w:val="000000" w:themeColor="text1"/>
          <w14:textFill>
            <w14:solidFill>
              <w14:schemeClr w14:val="tx1"/>
            </w14:solidFill>
          </w14:textFill>
        </w:rPr>
      </w:pPr>
      <w:bookmarkStart w:id="1" w:name="_bookmark62"/>
      <w:bookmarkEnd w:id="1"/>
      <w:bookmarkStart w:id="2" w:name="6.3.2._项目开工会"/>
      <w:bookmarkEnd w:id="2"/>
      <w:bookmarkStart w:id="3" w:name="_Toc137626447"/>
      <w:r>
        <w:rPr>
          <w:rFonts w:hint="eastAsia"/>
          <w:color w:val="000000" w:themeColor="text1"/>
          <w14:textFill>
            <w14:solidFill>
              <w14:schemeClr w14:val="tx1"/>
            </w14:solidFill>
          </w14:textFill>
        </w:rPr>
        <w:t>（2）</w:t>
      </w:r>
      <w:r>
        <w:rPr>
          <w:color w:val="000000" w:themeColor="text1"/>
          <w14:textFill>
            <w14:solidFill>
              <w14:schemeClr w14:val="tx1"/>
            </w14:solidFill>
          </w14:textFill>
        </w:rPr>
        <w:t>项目开工会</w:t>
      </w:r>
      <w:bookmarkEnd w:id="3"/>
    </w:p>
    <w:p w14:paraId="3145EA12">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项目开工会的召开应与项目的总体任务相对应。</w:t>
      </w:r>
      <w:r>
        <w:rPr>
          <w:color w:val="000000" w:themeColor="text1"/>
          <w14:textFill>
            <w14:solidFill>
              <w14:schemeClr w14:val="tx1"/>
            </w14:solidFill>
          </w14:textFill>
        </w:rPr>
        <w:t xml:space="preserve"> </w:t>
      </w:r>
    </w:p>
    <w:p w14:paraId="62318E9A">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开工会的目的是审查和确认项目的范围、各项工作、可交付成果、详细的进度表。项目小组将说明现场安全和业务流程、现有的应用领域和现场设施。介绍双方的项目成员，提交经确认的项目的范围和进度表，审查所需要的数据。对标准操作规程及生产流程的全面审查，检查机组运行时的正常操作约束。详细讨论过程流程图，为预阶跃测试做准备。</w:t>
      </w:r>
      <w:r>
        <w:rPr>
          <w:color w:val="000000" w:themeColor="text1"/>
          <w14:textFill>
            <w14:solidFill>
              <w14:schemeClr w14:val="tx1"/>
            </w14:solidFill>
          </w14:textFill>
        </w:rPr>
        <w:t xml:space="preserve"> </w:t>
      </w:r>
    </w:p>
    <w:p w14:paraId="6F0D31B4">
      <w:pPr>
        <w:spacing w:line="312" w:lineRule="auto"/>
        <w:ind w:firstLine="420" w:firstLineChars="200"/>
        <w:rPr>
          <w:color w:val="000000" w:themeColor="text1"/>
          <w14:textFill>
            <w14:solidFill>
              <w14:schemeClr w14:val="tx1"/>
            </w14:solidFill>
          </w14:textFill>
        </w:rPr>
      </w:pPr>
      <w:bookmarkStart w:id="4" w:name="6.3.3._项目预测试"/>
      <w:bookmarkEnd w:id="4"/>
      <w:bookmarkStart w:id="5" w:name="_bookmark63"/>
      <w:bookmarkEnd w:id="5"/>
      <w:bookmarkStart w:id="6" w:name="_Toc137626448"/>
      <w:r>
        <w:rPr>
          <w:rFonts w:hint="eastAsia"/>
          <w:color w:val="000000" w:themeColor="text1"/>
          <w14:textFill>
            <w14:solidFill>
              <w14:schemeClr w14:val="tx1"/>
            </w14:solidFill>
          </w14:textFill>
        </w:rPr>
        <w:t>（3）</w:t>
      </w:r>
      <w:r>
        <w:rPr>
          <w:color w:val="000000" w:themeColor="text1"/>
          <w14:textFill>
            <w14:solidFill>
              <w14:schemeClr w14:val="tx1"/>
            </w14:solidFill>
          </w14:textFill>
        </w:rPr>
        <w:t>项目预测试</w:t>
      </w:r>
      <w:bookmarkEnd w:id="6"/>
    </w:p>
    <w:p w14:paraId="6838BC1A">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项目开工会之后，要对设备进行初步的预测试，用以评估</w:t>
      </w:r>
      <w:r>
        <w:rPr>
          <w:color w:val="000000" w:themeColor="text1"/>
          <w14:textFill>
            <w14:solidFill>
              <w14:schemeClr w14:val="tx1"/>
            </w14:solidFill>
          </w14:textFill>
        </w:rPr>
        <w:t>DCS</w:t>
      </w:r>
      <w:r>
        <w:rPr>
          <w:rFonts w:hint="eastAsia"/>
          <w:color w:val="000000" w:themeColor="text1"/>
          <w14:textFill>
            <w14:solidFill>
              <w14:schemeClr w14:val="tx1"/>
            </w14:solidFill>
          </w14:textFill>
        </w:rPr>
        <w:t>系统的控制性能，确定设备过程响应的大致量级及时间参数，发现任何不正常的过程约束或耦合，并确定变量的变化的要求。预试验是在</w:t>
      </w:r>
      <w:r>
        <w:rPr>
          <w:color w:val="000000" w:themeColor="text1"/>
          <w14:textFill>
            <w14:solidFill>
              <w14:schemeClr w14:val="tx1"/>
            </w14:solidFill>
          </w14:textFill>
        </w:rPr>
        <w:t>DCS</w:t>
      </w:r>
      <w:r>
        <w:rPr>
          <w:rFonts w:hint="eastAsia"/>
          <w:color w:val="000000" w:themeColor="text1"/>
          <w14:textFill>
            <w14:solidFill>
              <w14:schemeClr w14:val="tx1"/>
            </w14:solidFill>
          </w14:textFill>
        </w:rPr>
        <w:t>回路上进行的小幅度调节测试。首先，将操作变量在</w:t>
      </w:r>
      <w:r>
        <w:rPr>
          <w:color w:val="000000" w:themeColor="text1"/>
          <w14:textFill>
            <w14:solidFill>
              <w14:schemeClr w14:val="tx1"/>
            </w14:solidFill>
          </w14:textFill>
        </w:rPr>
        <w:t>DCS</w:t>
      </w:r>
      <w:r>
        <w:rPr>
          <w:rFonts w:hint="eastAsia"/>
          <w:color w:val="000000" w:themeColor="text1"/>
          <w14:textFill>
            <w14:solidFill>
              <w14:schemeClr w14:val="tx1"/>
            </w14:solidFill>
          </w14:textFill>
        </w:rPr>
        <w:t>控制回路的设定点，反复变化多次，以检查</w:t>
      </w:r>
      <w:r>
        <w:rPr>
          <w:color w:val="000000" w:themeColor="text1"/>
          <w14:textFill>
            <w14:solidFill>
              <w14:schemeClr w14:val="tx1"/>
            </w14:solidFill>
          </w14:textFill>
        </w:rPr>
        <w:t>PID</w:t>
      </w:r>
      <w:r>
        <w:rPr>
          <w:rFonts w:hint="eastAsia"/>
          <w:color w:val="000000" w:themeColor="text1"/>
          <w14:textFill>
            <w14:solidFill>
              <w14:schemeClr w14:val="tx1"/>
            </w14:solidFill>
          </w14:textFill>
        </w:rPr>
        <w:t>调节回路和控制阀的控制性能，并完成P</w:t>
      </w:r>
      <w:r>
        <w:rPr>
          <w:color w:val="000000" w:themeColor="text1"/>
          <w14:textFill>
            <w14:solidFill>
              <w14:schemeClr w14:val="tx1"/>
            </w14:solidFill>
          </w14:textFill>
        </w:rPr>
        <w:t>ID性能评估与参数整定</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 xml:space="preserve"> </w:t>
      </w:r>
    </w:p>
    <w:p w14:paraId="50EC2156">
      <w:pPr>
        <w:spacing w:line="312" w:lineRule="auto"/>
        <w:ind w:firstLine="420" w:firstLineChars="200"/>
        <w:rPr>
          <w:color w:val="000000" w:themeColor="text1"/>
          <w14:textFill>
            <w14:solidFill>
              <w14:schemeClr w14:val="tx1"/>
            </w14:solidFill>
          </w14:textFill>
        </w:rPr>
      </w:pPr>
      <w:bookmarkStart w:id="7" w:name="6.3.4._应用软件集成"/>
      <w:bookmarkEnd w:id="7"/>
      <w:bookmarkStart w:id="8" w:name="_bookmark64"/>
      <w:bookmarkEnd w:id="8"/>
      <w:bookmarkStart w:id="9" w:name="_Toc137626449"/>
      <w:r>
        <w:rPr>
          <w:rFonts w:hint="eastAsia"/>
          <w:color w:val="000000" w:themeColor="text1"/>
          <w14:textFill>
            <w14:solidFill>
              <w14:schemeClr w14:val="tx1"/>
            </w14:solidFill>
          </w14:textFill>
        </w:rPr>
        <w:t>（4）</w:t>
      </w:r>
      <w:r>
        <w:rPr>
          <w:color w:val="000000" w:themeColor="text1"/>
          <w14:textFill>
            <w14:solidFill>
              <w14:schemeClr w14:val="tx1"/>
            </w14:solidFill>
          </w14:textFill>
        </w:rPr>
        <w:t>应用软件集成</w:t>
      </w:r>
      <w:bookmarkEnd w:id="9"/>
    </w:p>
    <w:p w14:paraId="0DC7B032">
      <w:pPr>
        <w:spacing w:line="312"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应用软件集成包括：APC控制系统软件平台软件安装、配置、确认、附加计算的支持模块，DCS端的操作员画面。为实现与</w:t>
      </w:r>
      <w:r>
        <w:rPr>
          <w:rFonts w:hint="eastAsia"/>
          <w:color w:val="000000" w:themeColor="text1"/>
          <w:szCs w:val="21"/>
          <w14:textFill>
            <w14:solidFill>
              <w14:schemeClr w14:val="tx1"/>
            </w14:solidFill>
          </w14:textFill>
        </w:rPr>
        <w:t>先进</w:t>
      </w:r>
      <w:r>
        <w:rPr>
          <w:color w:val="000000" w:themeColor="text1"/>
          <w:szCs w:val="21"/>
          <w14:textFill>
            <w14:solidFill>
              <w14:schemeClr w14:val="tx1"/>
            </w14:solidFill>
          </w14:textFill>
        </w:rPr>
        <w:t xml:space="preserve">控制系统软件平台的通讯接口，应对DCS系统做相应的配置。 </w:t>
      </w:r>
    </w:p>
    <w:p w14:paraId="7E638ECB">
      <w:pPr>
        <w:spacing w:line="312" w:lineRule="auto"/>
        <w:ind w:firstLine="420" w:firstLineChars="200"/>
        <w:rPr>
          <w:color w:val="000000" w:themeColor="text1"/>
          <w14:textFill>
            <w14:solidFill>
              <w14:schemeClr w14:val="tx1"/>
            </w14:solidFill>
          </w14:textFill>
        </w:rPr>
      </w:pPr>
      <w:bookmarkStart w:id="10" w:name="_bookmark65"/>
      <w:bookmarkEnd w:id="10"/>
      <w:bookmarkStart w:id="11" w:name="6.3.5._功能设计"/>
      <w:bookmarkEnd w:id="11"/>
      <w:bookmarkStart w:id="12" w:name="_Toc137626450"/>
      <w:r>
        <w:rPr>
          <w:rFonts w:hint="eastAsia"/>
          <w:color w:val="000000" w:themeColor="text1"/>
          <w14:textFill>
            <w14:solidFill>
              <w14:schemeClr w14:val="tx1"/>
            </w14:solidFill>
          </w14:textFill>
        </w:rPr>
        <w:t>（5）</w:t>
      </w:r>
      <w:r>
        <w:rPr>
          <w:color w:val="000000" w:themeColor="text1"/>
          <w14:textFill>
            <w14:solidFill>
              <w14:schemeClr w14:val="tx1"/>
            </w14:solidFill>
          </w14:textFill>
        </w:rPr>
        <w:t>功能设计</w:t>
      </w:r>
      <w:bookmarkEnd w:id="12"/>
    </w:p>
    <w:p w14:paraId="4C69EB3F">
      <w:pPr>
        <w:spacing w:line="312" w:lineRule="auto"/>
        <w:ind w:firstLine="420" w:firstLineChars="200"/>
        <w:rPr>
          <w:color w:val="000000" w:themeColor="text1"/>
          <w:szCs w:val="21"/>
          <w14:textFill>
            <w14:solidFill>
              <w14:schemeClr w14:val="tx1"/>
            </w14:solidFill>
          </w14:textFill>
        </w:rPr>
      </w:pPr>
      <w:r>
        <w:rPr>
          <w:color w:val="000000" w:themeColor="text1"/>
          <w:szCs w:val="21"/>
          <w14:textFill>
            <w14:solidFill>
              <w14:schemeClr w14:val="tx1"/>
            </w14:solidFill>
          </w14:textFill>
        </w:rPr>
        <w:t xml:space="preserve">预测试的结果将主要用于开发功能设计报告，功能设计报告是项目实施工作的依据，所有项目工作文档应以控制器功能设计报告为基础。 </w:t>
      </w:r>
    </w:p>
    <w:p w14:paraId="1672A023">
      <w:pPr>
        <w:spacing w:line="312" w:lineRule="auto"/>
        <w:ind w:firstLine="420" w:firstLineChars="200"/>
        <w:rPr>
          <w:color w:val="000000" w:themeColor="text1"/>
          <w14:textFill>
            <w14:solidFill>
              <w14:schemeClr w14:val="tx1"/>
            </w14:solidFill>
          </w14:textFill>
        </w:rPr>
      </w:pPr>
      <w:r>
        <w:rPr>
          <w:color w:val="000000" w:themeColor="text1"/>
          <w:szCs w:val="21"/>
          <w14:textFill>
            <w14:solidFill>
              <w14:schemeClr w14:val="tx1"/>
            </w14:solidFill>
          </w14:textFill>
        </w:rPr>
        <w:t xml:space="preserve">功能设计文档将包括下列各项内容： </w:t>
      </w:r>
    </w:p>
    <w:p w14:paraId="467626CC">
      <w:pPr>
        <w:spacing w:line="312" w:lineRule="auto"/>
        <w:ind w:firstLine="420" w:firstLineChars="200"/>
        <w:rPr>
          <w:color w:val="000000" w:themeColor="text1"/>
          <w14:textFill>
            <w14:solidFill>
              <w14:schemeClr w14:val="tx1"/>
            </w14:solidFill>
          </w14:textFill>
        </w:rPr>
      </w:pPr>
      <w:r>
        <w:rPr>
          <w:color w:val="000000" w:themeColor="text1"/>
          <w:szCs w:val="21"/>
          <w14:textFill>
            <w14:solidFill>
              <w14:schemeClr w14:val="tx1"/>
            </w14:solidFill>
          </w14:textFill>
        </w:rPr>
        <w:t xml:space="preserve">APC控制系统的功能设计 </w:t>
      </w:r>
    </w:p>
    <w:p w14:paraId="3DBB2FE9">
      <w:pPr>
        <w:pStyle w:val="14"/>
        <w:numPr>
          <w:ilvl w:val="0"/>
          <w:numId w:val="5"/>
        </w:numPr>
        <w:spacing w:line="312" w:lineRule="auto"/>
        <w:rPr>
          <w:color w:val="000000" w:themeColor="text1"/>
          <w:szCs w:val="21"/>
          <w14:textFill>
            <w14:solidFill>
              <w14:schemeClr w14:val="tx1"/>
            </w14:solidFill>
          </w14:textFill>
        </w:rPr>
      </w:pPr>
      <w:r>
        <w:rPr>
          <w:color w:val="000000" w:themeColor="text1"/>
          <w:szCs w:val="21"/>
          <w14:textFill>
            <w14:solidFill>
              <w14:schemeClr w14:val="tx1"/>
            </w14:solidFill>
          </w14:textFill>
        </w:rPr>
        <w:t>工厂生产过程描述及控制目标</w:t>
      </w:r>
    </w:p>
    <w:p w14:paraId="5129C247">
      <w:pPr>
        <w:pStyle w:val="14"/>
        <w:numPr>
          <w:ilvl w:val="0"/>
          <w:numId w:val="5"/>
        </w:numPr>
        <w:spacing w:line="312" w:lineRule="auto"/>
        <w:rPr>
          <w:color w:val="000000" w:themeColor="text1"/>
          <w14:textFill>
            <w14:solidFill>
              <w14:schemeClr w14:val="tx1"/>
            </w14:solidFill>
          </w14:textFill>
        </w:rPr>
      </w:pPr>
      <w:r>
        <w:rPr>
          <w:color w:val="000000" w:themeColor="text1"/>
          <w:szCs w:val="21"/>
          <w14:textFill>
            <w14:solidFill>
              <w14:schemeClr w14:val="tx1"/>
            </w14:solidFill>
          </w14:textFill>
        </w:rPr>
        <w:t xml:space="preserve">APC控制系统的应用构架 </w:t>
      </w:r>
    </w:p>
    <w:p w14:paraId="4A0F0651">
      <w:pPr>
        <w:pStyle w:val="14"/>
        <w:numPr>
          <w:ilvl w:val="0"/>
          <w:numId w:val="5"/>
        </w:numPr>
        <w:spacing w:line="312" w:lineRule="auto"/>
        <w:rPr>
          <w:color w:val="000000" w:themeColor="text1"/>
          <w14:textFill>
            <w14:solidFill>
              <w14:schemeClr w14:val="tx1"/>
            </w14:solidFill>
          </w14:textFill>
        </w:rPr>
      </w:pPr>
      <w:r>
        <w:rPr>
          <w:color w:val="000000" w:themeColor="text1"/>
          <w:szCs w:val="21"/>
          <w14:textFill>
            <w14:solidFill>
              <w14:schemeClr w14:val="tx1"/>
            </w14:solidFill>
          </w14:textFill>
        </w:rPr>
        <w:t xml:space="preserve">APC控制系统中控制变量，操作变量和干扰变量的定义 </w:t>
      </w:r>
    </w:p>
    <w:p w14:paraId="3D723A2D">
      <w:pPr>
        <w:pStyle w:val="14"/>
        <w:numPr>
          <w:ilvl w:val="0"/>
          <w:numId w:val="5"/>
        </w:numPr>
        <w:spacing w:line="312" w:lineRule="auto"/>
        <w:rPr>
          <w:color w:val="000000" w:themeColor="text1"/>
          <w14:textFill>
            <w14:solidFill>
              <w14:schemeClr w14:val="tx1"/>
            </w14:solidFill>
          </w14:textFill>
        </w:rPr>
      </w:pPr>
      <w:r>
        <w:rPr>
          <w:color w:val="000000" w:themeColor="text1"/>
          <w:szCs w:val="21"/>
          <w14:textFill>
            <w14:solidFill>
              <w14:schemeClr w14:val="tx1"/>
            </w14:solidFill>
          </w14:textFill>
        </w:rPr>
        <w:t xml:space="preserve">APC控制系统的执行周期的定义 </w:t>
      </w:r>
    </w:p>
    <w:p w14:paraId="32E20982">
      <w:pPr>
        <w:spacing w:line="312" w:lineRule="auto"/>
        <w:ind w:firstLine="420" w:firstLineChars="200"/>
        <w:rPr>
          <w:color w:val="000000" w:themeColor="text1"/>
          <w14:textFill>
            <w14:solidFill>
              <w14:schemeClr w14:val="tx1"/>
            </w14:solidFill>
          </w14:textFill>
        </w:rPr>
      </w:pPr>
      <w:bookmarkStart w:id="13" w:name="_bookmark66"/>
      <w:bookmarkEnd w:id="13"/>
      <w:bookmarkStart w:id="14" w:name="6.3.6._软仪表开发"/>
      <w:bookmarkEnd w:id="14"/>
      <w:bookmarkStart w:id="15" w:name="_Toc137626451"/>
      <w:r>
        <w:rPr>
          <w:rFonts w:hint="eastAsia"/>
          <w:color w:val="000000" w:themeColor="text1"/>
          <w14:textFill>
            <w14:solidFill>
              <w14:schemeClr w14:val="tx1"/>
            </w14:solidFill>
          </w14:textFill>
        </w:rPr>
        <w:t>（6）</w:t>
      </w:r>
      <w:r>
        <w:rPr>
          <w:color w:val="000000" w:themeColor="text1"/>
          <w14:textFill>
            <w14:solidFill>
              <w14:schemeClr w14:val="tx1"/>
            </w14:solidFill>
          </w14:textFill>
        </w:rPr>
        <w:t>软仪表开发</w:t>
      </w:r>
      <w:bookmarkEnd w:id="15"/>
    </w:p>
    <w:p w14:paraId="24938C48">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产品性能的回归计算— 软仪表作为项目实施工作的一部分，通常用于用户对某些性质缺乏采样分析，或采样分析的频率太慢远落后于实际过程的变化的情况，为控制器提供连续的控制变量。为保证软仪表的准确性，需要一批质量数据。质量数据应包括：准确的标有采样时间的样品，统一的实验分析方法，关键的控制变量和被控变量的采样变化，应全部涉及设备生产过程的操作范围变化，同时该数据量应足够大。通常情况下，这些数据大多来自于工厂阶跃测试过程。 </w:t>
      </w:r>
    </w:p>
    <w:p w14:paraId="0B89F558">
      <w:pPr>
        <w:spacing w:line="312" w:lineRule="auto"/>
        <w:ind w:firstLine="420" w:firstLineChars="200"/>
        <w:rPr>
          <w:color w:val="000000" w:themeColor="text1"/>
          <w14:textFill>
            <w14:solidFill>
              <w14:schemeClr w14:val="tx1"/>
            </w14:solidFill>
          </w14:textFill>
        </w:rPr>
      </w:pPr>
      <w:bookmarkStart w:id="16" w:name="6.3.7._工厂阶跃测试"/>
      <w:bookmarkEnd w:id="16"/>
      <w:bookmarkStart w:id="17" w:name="_bookmark67"/>
      <w:bookmarkEnd w:id="17"/>
      <w:bookmarkStart w:id="18" w:name="_Toc137626452"/>
      <w:r>
        <w:rPr>
          <w:rFonts w:hint="eastAsia"/>
          <w:color w:val="000000" w:themeColor="text1"/>
          <w14:textFill>
            <w14:solidFill>
              <w14:schemeClr w14:val="tx1"/>
            </w14:solidFill>
          </w14:textFill>
        </w:rPr>
        <w:t>（7）</w:t>
      </w:r>
      <w:r>
        <w:rPr>
          <w:color w:val="000000" w:themeColor="text1"/>
          <w14:textFill>
            <w14:solidFill>
              <w14:schemeClr w14:val="tx1"/>
            </w14:solidFill>
          </w14:textFill>
        </w:rPr>
        <w:t>工厂阶跃测试</w:t>
      </w:r>
      <w:bookmarkEnd w:id="18"/>
    </w:p>
    <w:p w14:paraId="4695E0A0">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项目团队指导实施工厂阶跃测试，以校验培训模拟器的模型、产生正确的响应数据用于开发控制器模型矩阵中模拟器不能产生的关系。有三种方法可产生正确的响应数据。第一是手动阶跃测试，方法多用于关键变量。第二是称作伪随机的二元序列测试，这是一种可获得较好响应数据的首选方法，这种数据序列方法可更高效获取数据，同时对设备干扰最小。第三种方法是一种自适应性方法，基于详尽的初始模型。 </w:t>
      </w:r>
    </w:p>
    <w:p w14:paraId="7ED721AE">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测试要求所有操作变量、前馈变量的变化，应尽可能的基于其各自的常规操作点值。变化的幅度应足以检测到系统的响应，但同时不能违反设备的限制或产品规格。为此目的，在阶跃测试之前，对于阶跃测试的幅度大小和持续时间应与操作和技术人员充分沟通且达成一致。然而，在测试期间，阶跃测试的幅度及时间应根据操作约束或系统的响应情况予以调整。同样，如果涉及到操作安全的需要，操作人员可以在测试期间及时改变试验的设定值。 </w:t>
      </w:r>
    </w:p>
    <w:p w14:paraId="34D885B1">
      <w:pPr>
        <w:spacing w:line="312" w:lineRule="auto"/>
        <w:ind w:firstLine="420" w:firstLineChars="200"/>
        <w:rPr>
          <w:color w:val="000000" w:themeColor="text1"/>
          <w14:textFill>
            <w14:solidFill>
              <w14:schemeClr w14:val="tx1"/>
            </w14:solidFill>
          </w14:textFill>
        </w:rPr>
      </w:pPr>
      <w:bookmarkStart w:id="19" w:name="_bookmark68"/>
      <w:bookmarkEnd w:id="19"/>
      <w:bookmarkStart w:id="20" w:name="6.3.8._详细工程设计"/>
      <w:bookmarkEnd w:id="20"/>
      <w:bookmarkStart w:id="21" w:name="_Toc137626453"/>
      <w:r>
        <w:rPr>
          <w:rFonts w:hint="eastAsia"/>
          <w:color w:val="000000" w:themeColor="text1"/>
          <w14:textFill>
            <w14:solidFill>
              <w14:schemeClr w14:val="tx1"/>
            </w14:solidFill>
          </w14:textFill>
        </w:rPr>
        <w:t>（8）</w:t>
      </w:r>
      <w:r>
        <w:rPr>
          <w:color w:val="000000" w:themeColor="text1"/>
          <w14:textFill>
            <w14:solidFill>
              <w14:schemeClr w14:val="tx1"/>
            </w14:solidFill>
          </w14:textFill>
        </w:rPr>
        <w:t>详细工程设计</w:t>
      </w:r>
      <w:bookmarkEnd w:id="21"/>
    </w:p>
    <w:p w14:paraId="718DAA18">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在完成工厂阶跃试验后，提取数据，做进一步的数据分析和系统模型建立。对工厂阶跃试验数据要进行检查和对有问题的数据予以剔除。要被剔除的数据主要发生在：出现大的过程扰乱、数据采集发生故障，没有明显的数据响应，关键的控制回路饱和或失效，出现未测量到的大扰动。然后采用APC控制系统软件平台建模工具配置和建立过程模型。评价模型识别的结果— 因变量/独立变量的一一对应关系。在模型识别过程中，应对系统模型进行多次修改，直到模型真正满足工程的实际需要。判断模型质量的标准包括： </w:t>
      </w:r>
    </w:p>
    <w:p w14:paraId="62C34FE8">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模型的增益大小和符号；模型的动态形式；对于工厂测试数据预测的质量；相关模型的一致性； </w:t>
      </w:r>
    </w:p>
    <w:p w14:paraId="79DD546A">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在最终的模型建立后，架构系统控制器的模型矩阵。项</w:t>
      </w:r>
      <w:r>
        <w:rPr>
          <w:rFonts w:hint="eastAsia"/>
          <w:color w:val="000000" w:themeColor="text1"/>
          <w14:textFill>
            <w14:solidFill>
              <w14:schemeClr w14:val="tx1"/>
            </w14:solidFill>
          </w14:textFill>
        </w:rPr>
        <w:t>目</w:t>
      </w:r>
      <w:r>
        <w:rPr>
          <w:color w:val="000000" w:themeColor="text1"/>
          <w14:textFill>
            <w14:solidFill>
              <w14:schemeClr w14:val="tx1"/>
            </w14:solidFill>
          </w14:textFill>
        </w:rPr>
        <w:t xml:space="preserve">双方的项目人员应评价控制器的模型矩阵，以确保其准确地反应过程系统。 </w:t>
      </w:r>
    </w:p>
    <w:p w14:paraId="7EB8548D">
      <w:pPr>
        <w:spacing w:line="312" w:lineRule="auto"/>
        <w:ind w:firstLine="420" w:firstLineChars="200"/>
        <w:rPr>
          <w:color w:val="000000" w:themeColor="text1"/>
          <w14:textFill>
            <w14:solidFill>
              <w14:schemeClr w14:val="tx1"/>
            </w14:solidFill>
          </w14:textFill>
        </w:rPr>
      </w:pPr>
      <w:bookmarkStart w:id="22" w:name="_bookmark69"/>
      <w:bookmarkEnd w:id="22"/>
      <w:bookmarkStart w:id="23" w:name="6.3.9._DCS组态"/>
      <w:bookmarkEnd w:id="23"/>
      <w:bookmarkStart w:id="24" w:name="_Toc137626454"/>
      <w:r>
        <w:rPr>
          <w:rFonts w:hint="eastAsia"/>
          <w:color w:val="000000" w:themeColor="text1"/>
          <w14:textFill>
            <w14:solidFill>
              <w14:schemeClr w14:val="tx1"/>
            </w14:solidFill>
          </w14:textFill>
        </w:rPr>
        <w:t>（8）</w:t>
      </w:r>
      <w:r>
        <w:rPr>
          <w:color w:val="000000" w:themeColor="text1"/>
          <w14:textFill>
            <w14:solidFill>
              <w14:schemeClr w14:val="tx1"/>
            </w14:solidFill>
          </w14:textFill>
        </w:rPr>
        <w:t>DCS 组态</w:t>
      </w:r>
      <w:bookmarkEnd w:id="24"/>
      <w:r>
        <w:rPr>
          <w:color w:val="000000" w:themeColor="text1"/>
          <w14:textFill>
            <w14:solidFill>
              <w14:schemeClr w14:val="tx1"/>
            </w14:solidFill>
          </w14:textFill>
        </w:rPr>
        <w:t xml:space="preserve"> </w:t>
      </w:r>
    </w:p>
    <w:p w14:paraId="4538DA2C">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为保证APC控制系统以及操作员更好的了解APC控制系统的控制结果，在操作员手动和APC控制系统自动的方式投切，在DCS中需要增加一些变量、画面以及控制逻辑等。 </w:t>
      </w:r>
    </w:p>
    <w:p w14:paraId="3116B2BD">
      <w:pPr>
        <w:spacing w:line="312" w:lineRule="auto"/>
        <w:ind w:firstLine="420" w:firstLineChars="200"/>
        <w:rPr>
          <w:color w:val="000000" w:themeColor="text1"/>
          <w14:textFill>
            <w14:solidFill>
              <w14:schemeClr w14:val="tx1"/>
            </w14:solidFill>
          </w14:textFill>
        </w:rPr>
      </w:pPr>
      <w:bookmarkStart w:id="25" w:name="_bookmark70"/>
      <w:bookmarkEnd w:id="25"/>
      <w:bookmarkStart w:id="26" w:name="6.3.10._FAT及相关培训"/>
      <w:bookmarkEnd w:id="26"/>
      <w:bookmarkStart w:id="27" w:name="_Toc137626455"/>
      <w:r>
        <w:rPr>
          <w:rFonts w:hint="eastAsia"/>
          <w:color w:val="000000" w:themeColor="text1"/>
          <w14:textFill>
            <w14:solidFill>
              <w14:schemeClr w14:val="tx1"/>
            </w14:solidFill>
          </w14:textFill>
        </w:rPr>
        <w:t>（9）</w:t>
      </w:r>
      <w:r>
        <w:rPr>
          <w:color w:val="000000" w:themeColor="text1"/>
          <w14:textFill>
            <w14:solidFill>
              <w14:schemeClr w14:val="tx1"/>
            </w14:solidFill>
          </w14:textFill>
        </w:rPr>
        <w:t>FAT 及相关培训</w:t>
      </w:r>
      <w:bookmarkEnd w:id="27"/>
      <w:r>
        <w:rPr>
          <w:color w:val="000000" w:themeColor="text1"/>
          <w14:textFill>
            <w14:solidFill>
              <w14:schemeClr w14:val="tx1"/>
            </w14:solidFill>
          </w14:textFill>
        </w:rPr>
        <w:t xml:space="preserve"> </w:t>
      </w:r>
    </w:p>
    <w:p w14:paraId="2B6F1100">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为了更好地让</w:t>
      </w:r>
      <w:r>
        <w:rPr>
          <w:rFonts w:hint="eastAsia"/>
          <w:color w:val="000000" w:themeColor="text1"/>
          <w14:textFill>
            <w14:solidFill>
              <w14:schemeClr w14:val="tx1"/>
            </w14:solidFill>
          </w14:textFill>
        </w:rPr>
        <w:t>招标方</w:t>
      </w:r>
      <w:r>
        <w:rPr>
          <w:color w:val="000000" w:themeColor="text1"/>
          <w14:textFill>
            <w14:solidFill>
              <w14:schemeClr w14:val="tx1"/>
            </w14:solidFill>
          </w14:textFill>
        </w:rPr>
        <w:t>更好的了解APC控制系统，在详细设计以及DCS组态完成后，对</w:t>
      </w:r>
      <w:r>
        <w:rPr>
          <w:rFonts w:hint="eastAsia"/>
          <w:color w:val="000000" w:themeColor="text1"/>
          <w14:textFill>
            <w14:solidFill>
              <w14:schemeClr w14:val="tx1"/>
            </w14:solidFill>
          </w14:textFill>
        </w:rPr>
        <w:t>招标方</w:t>
      </w:r>
      <w:r>
        <w:rPr>
          <w:color w:val="000000" w:themeColor="text1"/>
          <w14:textFill>
            <w14:solidFill>
              <w14:schemeClr w14:val="tx1"/>
            </w14:solidFill>
          </w14:textFill>
        </w:rPr>
        <w:t xml:space="preserve">的技术人员以及操作员进行相关培训。 </w:t>
      </w:r>
    </w:p>
    <w:p w14:paraId="1B3D4C6A">
      <w:pPr>
        <w:spacing w:line="312" w:lineRule="auto"/>
        <w:ind w:firstLine="420" w:firstLineChars="200"/>
        <w:rPr>
          <w:color w:val="000000" w:themeColor="text1"/>
          <w14:textFill>
            <w14:solidFill>
              <w14:schemeClr w14:val="tx1"/>
            </w14:solidFill>
          </w14:textFill>
        </w:rPr>
      </w:pPr>
      <w:bookmarkStart w:id="28" w:name="_bookmark71"/>
      <w:bookmarkEnd w:id="28"/>
      <w:bookmarkStart w:id="29" w:name="6.3.11._APC控制系统投运"/>
      <w:bookmarkEnd w:id="29"/>
      <w:bookmarkStart w:id="30" w:name="_Toc137626456"/>
      <w:r>
        <w:rPr>
          <w:rFonts w:hint="eastAsia"/>
          <w:color w:val="000000" w:themeColor="text1"/>
          <w14:textFill>
            <w14:solidFill>
              <w14:schemeClr w14:val="tx1"/>
            </w14:solidFill>
          </w14:textFill>
        </w:rPr>
        <w:t>（1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APC 控制系统投运</w:t>
      </w:r>
      <w:bookmarkEnd w:id="30"/>
      <w:r>
        <w:rPr>
          <w:color w:val="000000" w:themeColor="text1"/>
          <w14:textFill>
            <w14:solidFill>
              <w14:schemeClr w14:val="tx1"/>
            </w14:solidFill>
          </w14:textFill>
        </w:rPr>
        <w:t xml:space="preserve"> </w:t>
      </w:r>
    </w:p>
    <w:p w14:paraId="19A94D2F">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当控制器安装到现场控制系统后，APC控制系统软件平台控制器应是开环激活。在开环状态下，通过DCS端的控制器画面，测试、确保控制器与DCS间可靠的数据通讯。然后，观察控制变量的预测偏差和预期的MV 步幅，校验建模时所建立的计算值的数据。 </w:t>
      </w:r>
    </w:p>
    <w:p w14:paraId="0F02D347">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在所有APC控制系统软件平台控制器与DCS 间的通讯被校验后，APC控制系统软件平台控制器切换至闭环状态。在闭环操作的初始阶段，</w:t>
      </w:r>
      <w:r>
        <w:rPr>
          <w:rFonts w:hint="eastAsia"/>
          <w:color w:val="000000" w:themeColor="text1"/>
          <w14:textFill>
            <w14:solidFill>
              <w14:schemeClr w14:val="tx1"/>
            </w14:solidFill>
          </w14:textFill>
        </w:rPr>
        <w:t>服务</w:t>
      </w:r>
      <w:r>
        <w:rPr>
          <w:color w:val="000000" w:themeColor="text1"/>
          <w14:textFill>
            <w14:solidFill>
              <w14:schemeClr w14:val="tx1"/>
            </w14:solidFill>
          </w14:textFill>
        </w:rPr>
        <w:t>技术人员将密切监控控制器的性能。对APC控制系统软件平台控制器参数或系统模型进行调整，以达到满意的控制效果。在此之后，</w:t>
      </w:r>
      <w:r>
        <w:rPr>
          <w:rFonts w:hint="eastAsia"/>
          <w:color w:val="000000" w:themeColor="text1"/>
          <w14:textFill>
            <w14:solidFill>
              <w14:schemeClr w14:val="tx1"/>
            </w14:solidFill>
          </w14:textFill>
        </w:rPr>
        <w:t>服务</w:t>
      </w:r>
      <w:r>
        <w:rPr>
          <w:color w:val="000000" w:themeColor="text1"/>
          <w14:textFill>
            <w14:solidFill>
              <w14:schemeClr w14:val="tx1"/>
            </w14:solidFill>
          </w14:textFill>
        </w:rPr>
        <w:t xml:space="preserve">技术人员将对操作员和工厂的技术人员，进行APC控制系统软件平台控制器的现场操作培训。 </w:t>
      </w:r>
    </w:p>
    <w:p w14:paraId="7A6FFE0A">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 xml:space="preserve">试投用阶段一直持续到APC控制系统软件平台控制器的控制性能被认可。控制器的控制性能的评估标准，应由项目双方人员共同决定。 </w:t>
      </w:r>
    </w:p>
    <w:p w14:paraId="6A23E473">
      <w:pPr>
        <w:spacing w:line="312" w:lineRule="auto"/>
        <w:ind w:firstLine="420" w:firstLineChars="200"/>
        <w:rPr>
          <w:color w:val="000000" w:themeColor="text1"/>
          <w14:textFill>
            <w14:solidFill>
              <w14:schemeClr w14:val="tx1"/>
            </w14:solidFill>
          </w14:textFill>
        </w:rPr>
      </w:pPr>
      <w:bookmarkStart w:id="31" w:name="6.3.12._SAT现场验收"/>
      <w:bookmarkEnd w:id="31"/>
      <w:bookmarkStart w:id="32" w:name="_bookmark72"/>
      <w:bookmarkEnd w:id="32"/>
      <w:bookmarkStart w:id="33" w:name="_Toc137626457"/>
      <w:r>
        <w:rPr>
          <w:rFonts w:hint="eastAsia"/>
          <w:color w:val="000000" w:themeColor="text1"/>
          <w14:textFill>
            <w14:solidFill>
              <w14:schemeClr w14:val="tx1"/>
            </w14:solidFill>
          </w14:textFill>
        </w:rPr>
        <w:t>（1</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SAT 现场验收</w:t>
      </w:r>
      <w:bookmarkEnd w:id="33"/>
    </w:p>
    <w:p w14:paraId="7E000A35">
      <w:pPr>
        <w:spacing w:line="312" w:lineRule="auto"/>
        <w:ind w:firstLine="420" w:firstLineChars="200"/>
        <w:rPr>
          <w:color w:val="000000" w:themeColor="text1"/>
          <w14:textFill>
            <w14:solidFill>
              <w14:schemeClr w14:val="tx1"/>
            </w14:solidFill>
          </w14:textFill>
        </w:rPr>
      </w:pPr>
      <w:r>
        <w:rPr>
          <w:color w:val="000000" w:themeColor="text1"/>
          <w14:textFill>
            <w14:solidFill>
              <w14:schemeClr w14:val="tx1"/>
            </w14:solidFill>
          </w14:textFill>
        </w:rPr>
        <w:t>在完成投用后，和</w:t>
      </w:r>
      <w:r>
        <w:rPr>
          <w:rFonts w:hint="eastAsia"/>
          <w:color w:val="000000" w:themeColor="text1"/>
          <w14:textFill>
            <w14:solidFill>
              <w14:schemeClr w14:val="tx1"/>
            </w14:solidFill>
          </w14:textFill>
        </w:rPr>
        <w:t>招标方</w:t>
      </w:r>
      <w:r>
        <w:rPr>
          <w:color w:val="000000" w:themeColor="text1"/>
          <w14:textFill>
            <w14:solidFill>
              <w14:schemeClr w14:val="tx1"/>
            </w14:solidFill>
          </w14:textFill>
        </w:rPr>
        <w:t>一同对</w:t>
      </w:r>
      <w:r>
        <w:rPr>
          <w:rFonts w:hint="eastAsia"/>
          <w:color w:val="000000" w:themeColor="text1"/>
          <w14:textFill>
            <w14:solidFill>
              <w14:schemeClr w14:val="tx1"/>
            </w14:solidFill>
          </w14:textFill>
        </w:rPr>
        <w:t>先进控制</w:t>
      </w:r>
      <w:r>
        <w:rPr>
          <w:color w:val="000000" w:themeColor="text1"/>
          <w14:textFill>
            <w14:solidFill>
              <w14:schemeClr w14:val="tx1"/>
            </w14:solidFill>
          </w14:textFill>
        </w:rPr>
        <w:t>系统进行考核。</w:t>
      </w:r>
    </w:p>
    <w:p w14:paraId="00195E3E">
      <w:pPr>
        <w:spacing w:line="312" w:lineRule="auto"/>
        <w:ind w:firstLine="420" w:firstLineChars="200"/>
        <w:rPr>
          <w:iCs/>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12</w:t>
      </w:r>
      <w:r>
        <w:rPr>
          <w:rFonts w:hint="eastAsia"/>
          <w:color w:val="000000" w:themeColor="text1"/>
          <w14:textFill>
            <w14:solidFill>
              <w14:schemeClr w14:val="tx1"/>
            </w14:solidFill>
          </w14:textFill>
        </w:rPr>
        <w:t>）交付最终文档</w:t>
      </w:r>
    </w:p>
    <w:p w14:paraId="256A775F">
      <w:pPr>
        <w:spacing w:line="312" w:lineRule="auto"/>
        <w:ind w:firstLine="420" w:firstLineChars="200"/>
        <w:rPr>
          <w:rFonts w:hint="eastAsia"/>
          <w:b/>
          <w:color w:val="000000" w:themeColor="text1"/>
          <w14:textFill>
            <w14:solidFill>
              <w14:schemeClr w14:val="tx1"/>
            </w14:solidFill>
          </w14:textFill>
        </w:rPr>
      </w:pPr>
      <w:r>
        <w:rPr>
          <w:rFonts w:hint="eastAsia"/>
          <w:color w:val="000000" w:themeColor="text1"/>
          <w14:textFill>
            <w14:solidFill>
              <w14:schemeClr w14:val="tx1"/>
            </w14:solidFill>
          </w14:textFill>
        </w:rPr>
        <w:t>提供简体中文版技术手册、运维手册、培训手册等材料，做好知识转移。</w:t>
      </w:r>
    </w:p>
    <w:p w14:paraId="007232C9">
      <w:pPr>
        <w:spacing w:line="312" w:lineRule="auto"/>
        <w:ind w:left="357"/>
        <w:rPr>
          <w:b/>
          <w:bCs/>
          <w:color w:val="000000" w:themeColor="text1"/>
          <w:szCs w:val="21"/>
          <w14:textFill>
            <w14:solidFill>
              <w14:schemeClr w14:val="tx1"/>
            </w14:solidFill>
          </w14:textFill>
        </w:rPr>
      </w:pPr>
      <w:r>
        <w:rPr>
          <w:rFonts w:hint="eastAsia"/>
          <w:b/>
          <w:bCs/>
          <w:color w:val="000000" w:themeColor="text1"/>
          <w:szCs w:val="21"/>
          <w14:textFill>
            <w14:solidFill>
              <w14:schemeClr w14:val="tx1"/>
            </w14:solidFill>
          </w14:textFill>
        </w:rPr>
        <w:t>5.2.3运维服务</w:t>
      </w:r>
    </w:p>
    <w:p w14:paraId="3812F022">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从项目通过企业验收之日起，提供</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年的项目应用运维期。在有效运维期内，提供免费软件升级与模型维护和技术服务。售后服务方案涵盖服务内容、服务方式、响应能力、响应时间、技术人员构成等内容。</w:t>
      </w:r>
    </w:p>
    <w:p w14:paraId="2B855B18">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.3进度要求</w:t>
      </w:r>
    </w:p>
    <w:p w14:paraId="36047CD7">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自合同签订之日起，各装置实施进度要求：</w:t>
      </w:r>
    </w:p>
    <w:tbl>
      <w:tblPr>
        <w:tblStyle w:val="9"/>
        <w:tblW w:w="8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589"/>
        <w:gridCol w:w="1883"/>
        <w:gridCol w:w="4399"/>
      </w:tblGrid>
      <w:tr w14:paraId="3BB47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 w:type="dxa"/>
            <w:vAlign w:val="center"/>
          </w:tcPr>
          <w:p w14:paraId="653604C4">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序号</w:t>
            </w:r>
          </w:p>
        </w:tc>
        <w:tc>
          <w:tcPr>
            <w:tcW w:w="1589" w:type="dxa"/>
            <w:vAlign w:val="center"/>
          </w:tcPr>
          <w:p w14:paraId="6461CA0A">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地区公司</w:t>
            </w:r>
          </w:p>
        </w:tc>
        <w:tc>
          <w:tcPr>
            <w:tcW w:w="1883" w:type="dxa"/>
            <w:vAlign w:val="center"/>
          </w:tcPr>
          <w:p w14:paraId="1690BE9F">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装置名称</w:t>
            </w:r>
          </w:p>
        </w:tc>
        <w:tc>
          <w:tcPr>
            <w:tcW w:w="4399" w:type="dxa"/>
            <w:vAlign w:val="center"/>
          </w:tcPr>
          <w:p w14:paraId="49ED9D32">
            <w:pPr>
              <w:jc w:val="center"/>
              <w:rPr>
                <w:b/>
                <w:color w:val="000000" w:themeColor="text1"/>
                <w:sz w:val="20"/>
                <w:szCs w:val="21"/>
                <w14:textFill>
                  <w14:solidFill>
                    <w14:schemeClr w14:val="tx1"/>
                  </w14:solidFill>
                </w14:textFill>
              </w:rPr>
            </w:pPr>
            <w:r>
              <w:rPr>
                <w:rFonts w:hint="eastAsia"/>
                <w:b/>
                <w:color w:val="000000" w:themeColor="text1"/>
                <w:sz w:val="20"/>
                <w:szCs w:val="21"/>
                <w14:textFill>
                  <w14:solidFill>
                    <w14:schemeClr w14:val="tx1"/>
                  </w14:solidFill>
                </w14:textFill>
              </w:rPr>
              <w:t>进度要求</w:t>
            </w:r>
          </w:p>
        </w:tc>
      </w:tr>
      <w:tr w14:paraId="4BBC4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10" w:type="dxa"/>
            <w:vAlign w:val="center"/>
          </w:tcPr>
          <w:p w14:paraId="14B7957C">
            <w:pPr>
              <w:jc w:val="center"/>
              <w:rPr>
                <w:color w:val="000000" w:themeColor="text1"/>
                <w:sz w:val="20"/>
                <w:szCs w:val="21"/>
                <w14:textFill>
                  <w14:solidFill>
                    <w14:schemeClr w14:val="tx1"/>
                  </w14:solidFill>
                </w14:textFill>
              </w:rPr>
            </w:pPr>
            <w:r>
              <w:rPr>
                <w:rFonts w:hint="eastAsia"/>
                <w:color w:val="000000" w:themeColor="text1"/>
                <w:sz w:val="20"/>
                <w:szCs w:val="21"/>
                <w14:textFill>
                  <w14:solidFill>
                    <w14:schemeClr w14:val="tx1"/>
                  </w14:solidFill>
                </w14:textFill>
              </w:rPr>
              <w:t>1</w:t>
            </w:r>
          </w:p>
        </w:tc>
        <w:tc>
          <w:tcPr>
            <w:tcW w:w="1589" w:type="dxa"/>
            <w:vAlign w:val="center"/>
          </w:tcPr>
          <w:p w14:paraId="61EE60FB">
            <w:pPr>
              <w:jc w:val="center"/>
              <w:rPr>
                <w:color w:val="000000" w:themeColor="text1"/>
                <w:sz w:val="20"/>
                <w:szCs w:val="21"/>
                <w14:textFill>
                  <w14:solidFill>
                    <w14:schemeClr w14:val="tx1"/>
                  </w14:solidFill>
                </w14:textFill>
              </w:rPr>
            </w:pPr>
            <w:r>
              <w:rPr>
                <w:rFonts w:hint="eastAsia"/>
                <w:color w:val="000000" w:themeColor="text1"/>
                <w:sz w:val="20"/>
                <w:szCs w:val="21"/>
                <w14:textFill>
                  <w14:solidFill>
                    <w14:schemeClr w14:val="tx1"/>
                  </w14:solidFill>
                </w14:textFill>
              </w:rPr>
              <w:t>福海创</w:t>
            </w:r>
          </w:p>
        </w:tc>
        <w:tc>
          <w:tcPr>
            <w:tcW w:w="1883" w:type="dxa"/>
            <w:vAlign w:val="center"/>
          </w:tcPr>
          <w:p w14:paraId="110B5A19">
            <w:pPr>
              <w:jc w:val="center"/>
              <w:rPr>
                <w:color w:val="000000" w:themeColor="text1"/>
                <w:sz w:val="20"/>
                <w:szCs w:val="21"/>
                <w14:textFill>
                  <w14:solidFill>
                    <w14:schemeClr w14:val="tx1"/>
                  </w14:solidFill>
                </w14:textFill>
              </w:rPr>
            </w:pP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w:t>
            </w:r>
          </w:p>
        </w:tc>
        <w:tc>
          <w:tcPr>
            <w:tcW w:w="4399" w:type="dxa"/>
            <w:vAlign w:val="center"/>
          </w:tcPr>
          <w:p w14:paraId="7B8C2D8C">
            <w:pPr>
              <w:jc w:val="left"/>
              <w:rPr>
                <w:color w:val="000000" w:themeColor="text1"/>
                <w:sz w:val="20"/>
                <w:szCs w:val="21"/>
                <w14:textFill>
                  <w14:solidFill>
                    <w14:schemeClr w14:val="tx1"/>
                  </w14:solidFill>
                </w14:textFill>
              </w:rPr>
            </w:pPr>
            <w:r>
              <w:rPr>
                <w:rFonts w:hint="eastAsia"/>
                <w:color w:val="000000" w:themeColor="text1"/>
                <w:sz w:val="20"/>
                <w:szCs w:val="21"/>
                <w14:textFill>
                  <w14:solidFill>
                    <w14:schemeClr w14:val="tx1"/>
                  </w14:solidFill>
                </w14:textFill>
              </w:rPr>
              <w:t>合同生效后3个月内交付软件（含授权），</w:t>
            </w:r>
            <w:r>
              <w:rPr>
                <w:color w:val="000000" w:themeColor="text1"/>
                <w:sz w:val="20"/>
                <w:szCs w:val="21"/>
                <w14:textFill>
                  <w14:solidFill>
                    <w14:schemeClr w14:val="tx1"/>
                  </w14:solidFill>
                </w14:textFill>
              </w:rPr>
              <w:t>12</w:t>
            </w:r>
            <w:r>
              <w:rPr>
                <w:rFonts w:hint="eastAsia"/>
                <w:color w:val="000000" w:themeColor="text1"/>
                <w:sz w:val="20"/>
                <w:szCs w:val="21"/>
                <w14:textFill>
                  <w14:solidFill>
                    <w14:schemeClr w14:val="tx1"/>
                  </w14:solidFill>
                </w14:textFill>
              </w:rPr>
              <w:t>个月内完成先进控制系统实施</w:t>
            </w:r>
          </w:p>
        </w:tc>
      </w:tr>
    </w:tbl>
    <w:p w14:paraId="2A5CE2B9">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投标人要按照项目实施计划要求，制定项目详细可行的具体实施方案和进度控制措施，严格执行实施计划，确保按时间要求完成项目实施工作。</w:t>
      </w:r>
    </w:p>
    <w:p w14:paraId="4872A268">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.4培训要求</w:t>
      </w:r>
    </w:p>
    <w:p w14:paraId="70CD4965">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培训应包含APC软件标准课程的培训和现场培训。</w:t>
      </w:r>
    </w:p>
    <w:tbl>
      <w:tblPr>
        <w:tblStyle w:val="9"/>
        <w:tblW w:w="8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9"/>
        <w:gridCol w:w="1685"/>
        <w:gridCol w:w="3355"/>
        <w:gridCol w:w="2832"/>
      </w:tblGrid>
      <w:tr w14:paraId="20A56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9" w:type="dxa"/>
            <w:vAlign w:val="center"/>
          </w:tcPr>
          <w:p w14:paraId="0E858AD3">
            <w:pPr>
              <w:jc w:val="center"/>
              <w:rPr>
                <w:b/>
                <w:color w:val="000000" w:themeColor="text1"/>
                <w:sz w:val="20"/>
                <w:szCs w:val="20"/>
                <w14:textFill>
                  <w14:solidFill>
                    <w14:schemeClr w14:val="tx1"/>
                  </w14:solidFill>
                </w14:textFill>
              </w:rPr>
            </w:pPr>
            <w:r>
              <w:rPr>
                <w:rFonts w:hint="eastAsia"/>
                <w:b/>
                <w:color w:val="000000" w:themeColor="text1"/>
                <w:sz w:val="20"/>
                <w:szCs w:val="20"/>
                <w14:textFill>
                  <w14:solidFill>
                    <w14:schemeClr w14:val="tx1"/>
                  </w14:solidFill>
                </w14:textFill>
              </w:rPr>
              <w:t>序号</w:t>
            </w:r>
          </w:p>
        </w:tc>
        <w:tc>
          <w:tcPr>
            <w:tcW w:w="1685" w:type="dxa"/>
            <w:vAlign w:val="center"/>
          </w:tcPr>
          <w:p w14:paraId="342B801E">
            <w:pPr>
              <w:jc w:val="center"/>
              <w:rPr>
                <w:b/>
                <w:color w:val="000000" w:themeColor="text1"/>
                <w:sz w:val="20"/>
                <w:szCs w:val="20"/>
                <w14:textFill>
                  <w14:solidFill>
                    <w14:schemeClr w14:val="tx1"/>
                  </w14:solidFill>
                </w14:textFill>
              </w:rPr>
            </w:pPr>
            <w:r>
              <w:rPr>
                <w:rFonts w:hint="eastAsia"/>
                <w:b/>
                <w:color w:val="000000" w:themeColor="text1"/>
                <w:sz w:val="20"/>
                <w:szCs w:val="20"/>
                <w14:textFill>
                  <w14:solidFill>
                    <w14:schemeClr w14:val="tx1"/>
                  </w14:solidFill>
                </w14:textFill>
              </w:rPr>
              <w:t>培训类型</w:t>
            </w:r>
          </w:p>
        </w:tc>
        <w:tc>
          <w:tcPr>
            <w:tcW w:w="3355" w:type="dxa"/>
            <w:vAlign w:val="center"/>
          </w:tcPr>
          <w:p w14:paraId="03DED2F9">
            <w:pPr>
              <w:jc w:val="center"/>
              <w:rPr>
                <w:b/>
                <w:color w:val="000000" w:themeColor="text1"/>
                <w:sz w:val="20"/>
                <w:szCs w:val="20"/>
                <w14:textFill>
                  <w14:solidFill>
                    <w14:schemeClr w14:val="tx1"/>
                  </w14:solidFill>
                </w14:textFill>
              </w:rPr>
            </w:pPr>
            <w:r>
              <w:rPr>
                <w:rFonts w:hint="eastAsia"/>
                <w:b/>
                <w:color w:val="000000" w:themeColor="text1"/>
                <w:sz w:val="20"/>
                <w:szCs w:val="20"/>
                <w14:textFill>
                  <w14:solidFill>
                    <w14:schemeClr w14:val="tx1"/>
                  </w14:solidFill>
                </w14:textFill>
              </w:rPr>
              <w:t>要求</w:t>
            </w:r>
          </w:p>
        </w:tc>
        <w:tc>
          <w:tcPr>
            <w:tcW w:w="2832" w:type="dxa"/>
            <w:vAlign w:val="center"/>
          </w:tcPr>
          <w:p w14:paraId="1650464B">
            <w:pPr>
              <w:jc w:val="center"/>
              <w:rPr>
                <w:b/>
                <w:color w:val="000000" w:themeColor="text1"/>
                <w:sz w:val="20"/>
                <w:szCs w:val="20"/>
                <w14:textFill>
                  <w14:solidFill>
                    <w14:schemeClr w14:val="tx1"/>
                  </w14:solidFill>
                </w14:textFill>
              </w:rPr>
            </w:pPr>
            <w:r>
              <w:rPr>
                <w:rFonts w:hint="eastAsia"/>
                <w:b/>
                <w:color w:val="000000" w:themeColor="text1"/>
                <w:sz w:val="20"/>
                <w:szCs w:val="20"/>
                <w14:textFill>
                  <w14:solidFill>
                    <w14:schemeClr w14:val="tx1"/>
                  </w14:solidFill>
                </w14:textFill>
              </w:rPr>
              <w:t>培训内容</w:t>
            </w:r>
          </w:p>
        </w:tc>
      </w:tr>
      <w:tr w14:paraId="7FE34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9" w:type="dxa"/>
            <w:vAlign w:val="center"/>
          </w:tcPr>
          <w:p w14:paraId="04ADFFAF">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1</w:t>
            </w:r>
          </w:p>
        </w:tc>
        <w:tc>
          <w:tcPr>
            <w:tcW w:w="1685" w:type="dxa"/>
            <w:vAlign w:val="center"/>
          </w:tcPr>
          <w:p w14:paraId="7EEF164A">
            <w:pPr>
              <w:jc w:val="center"/>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APC</w:t>
            </w:r>
            <w:r>
              <w:rPr>
                <w:rFonts w:hint="eastAsia"/>
                <w:color w:val="000000" w:themeColor="text1"/>
                <w:sz w:val="20"/>
                <w:szCs w:val="20"/>
                <w14:textFill>
                  <w14:solidFill>
                    <w14:schemeClr w14:val="tx1"/>
                  </w14:solidFill>
                </w14:textFill>
              </w:rPr>
              <w:t>软件</w:t>
            </w:r>
          </w:p>
          <w:p w14:paraId="22368497">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标准课程</w:t>
            </w:r>
          </w:p>
        </w:tc>
        <w:tc>
          <w:tcPr>
            <w:tcW w:w="3355" w:type="dxa"/>
            <w:vAlign w:val="center"/>
          </w:tcPr>
          <w:p w14:paraId="2089482F">
            <w:pPr>
              <w:jc w:val="left"/>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先进控制工程师，培训时间</w:t>
            </w:r>
            <w:r>
              <w:rPr>
                <w:color w:val="000000" w:themeColor="text1"/>
                <w:sz w:val="20"/>
                <w:szCs w:val="20"/>
                <w14:textFill>
                  <w14:solidFill>
                    <w14:schemeClr w14:val="tx1"/>
                  </w14:solidFill>
                </w14:textFill>
              </w:rPr>
              <w:t>5</w:t>
            </w:r>
            <w:r>
              <w:rPr>
                <w:rFonts w:hint="eastAsia"/>
                <w:color w:val="000000" w:themeColor="text1"/>
                <w:sz w:val="20"/>
                <w:szCs w:val="20"/>
                <w14:textFill>
                  <w14:solidFill>
                    <w14:schemeClr w14:val="tx1"/>
                  </w14:solidFill>
                </w14:textFill>
              </w:rPr>
              <w:t>天</w:t>
            </w:r>
          </w:p>
        </w:tc>
        <w:tc>
          <w:tcPr>
            <w:tcW w:w="2832" w:type="dxa"/>
            <w:vAlign w:val="center"/>
          </w:tcPr>
          <w:p w14:paraId="4DA2F6CF">
            <w:pPr>
              <w:jc w:val="left"/>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标准课程</w:t>
            </w:r>
          </w:p>
        </w:tc>
      </w:tr>
      <w:tr w14:paraId="1A7E9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09" w:type="dxa"/>
            <w:vAlign w:val="center"/>
          </w:tcPr>
          <w:p w14:paraId="4CD46CDB">
            <w:pPr>
              <w:jc w:val="center"/>
              <w:rPr>
                <w:color w:val="000000" w:themeColor="text1"/>
                <w:sz w:val="20"/>
                <w:szCs w:val="20"/>
                <w14:textFill>
                  <w14:solidFill>
                    <w14:schemeClr w14:val="tx1"/>
                  </w14:solidFill>
                </w14:textFill>
              </w:rPr>
            </w:pPr>
            <w:r>
              <w:rPr>
                <w:color w:val="000000" w:themeColor="text1"/>
                <w:sz w:val="20"/>
                <w:szCs w:val="20"/>
                <w14:textFill>
                  <w14:solidFill>
                    <w14:schemeClr w14:val="tx1"/>
                  </w14:solidFill>
                </w14:textFill>
              </w:rPr>
              <w:t>2</w:t>
            </w:r>
          </w:p>
        </w:tc>
        <w:tc>
          <w:tcPr>
            <w:tcW w:w="1685" w:type="dxa"/>
            <w:vAlign w:val="center"/>
          </w:tcPr>
          <w:p w14:paraId="0C60E082">
            <w:pPr>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APC现场培训</w:t>
            </w:r>
          </w:p>
        </w:tc>
        <w:tc>
          <w:tcPr>
            <w:tcW w:w="3355" w:type="dxa"/>
            <w:vAlign w:val="center"/>
          </w:tcPr>
          <w:p w14:paraId="7B91919F">
            <w:pPr>
              <w:jc w:val="left"/>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班组培训</w:t>
            </w:r>
          </w:p>
        </w:tc>
        <w:tc>
          <w:tcPr>
            <w:tcW w:w="2832" w:type="dxa"/>
            <w:vAlign w:val="center"/>
          </w:tcPr>
          <w:p w14:paraId="1A8C7C05">
            <w:pPr>
              <w:jc w:val="left"/>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系统使用</w:t>
            </w:r>
          </w:p>
        </w:tc>
      </w:tr>
    </w:tbl>
    <w:p w14:paraId="0ECD25E7">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投标人需提供培训内容对应的纸质或电子类详细资料。投标人应做好培训计划，提供培训环境，约定培训地点。</w:t>
      </w:r>
    </w:p>
    <w:p w14:paraId="6F33B607">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.5人力资源投入要求</w:t>
      </w:r>
    </w:p>
    <w:p w14:paraId="2DDB23B4">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投标人应重视项目建设工作，在其内部要成立专门的项目组织，由投标人资深项目经理相关出任项目经理，协调投标人相关方，确保项目所需资源顺畅到位。</w:t>
      </w:r>
    </w:p>
    <w:p w14:paraId="4AF57F4A">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配备的人力资源数量和投入工作量应满足项目需要，不得因为职责交叉影响项目的正常开展，在项目实施过程中，要保证人员的稳定性，不得随意更换技术人员。标书中的人员资质、能力和合同中的人员资质、能力应一致，若更换人员，必须书面征得招标人同意，且必须具有同等资质和能力。在实施过程中人员的更换需要经招标人书面同意，替代人员的能力和水平不得低于被更换人员的能力和水平。招标人有权要求中标人更换不称职的项目人员，中标人应选派符合要求的项目人员替代。</w:t>
      </w:r>
    </w:p>
    <w:p w14:paraId="47211DFD">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实施过程中因中标人的人员资质、能力、数量达不到标书要求，造成系统不能按期上线的，中标人应支付误期违约金；影响项目实施质量造成效益指标不达标的，按扣款约定的比例扣除实施费用；造成其他损失的，招标人有权提出索赔。</w:t>
      </w:r>
    </w:p>
    <w:p w14:paraId="5C884029">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（1）项目实施负责人：</w:t>
      </w:r>
    </w:p>
    <w:p w14:paraId="72124925">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至</w:t>
      </w:r>
      <w:bookmarkStart w:id="34" w:name="_Hlk43389938"/>
      <w:r>
        <w:rPr>
          <w:rFonts w:hint="eastAsia"/>
          <w:color w:val="000000" w:themeColor="text1"/>
          <w14:textFill>
            <w14:solidFill>
              <w14:schemeClr w14:val="tx1"/>
            </w14:solidFill>
          </w14:textFill>
        </w:rPr>
        <w:t>少承担过</w:t>
      </w:r>
      <w:r>
        <w:rPr>
          <w:color w:val="000000" w:themeColor="text1"/>
          <w14:textFill>
            <w14:solidFill>
              <w14:schemeClr w14:val="tx1"/>
            </w14:solidFill>
          </w14:textFill>
        </w:rPr>
        <w:t>5</w:t>
      </w:r>
      <w:r>
        <w:rPr>
          <w:rFonts w:hint="eastAsia"/>
          <w:color w:val="000000" w:themeColor="text1"/>
          <w14:textFill>
            <w14:solidFill>
              <w14:schemeClr w14:val="tx1"/>
            </w14:solidFill>
          </w14:textFill>
        </w:rPr>
        <w:t>套大型石油化工企业先进控制相关项目的实施经验</w:t>
      </w:r>
      <w:bookmarkEnd w:id="34"/>
      <w:r>
        <w:rPr>
          <w:rFonts w:hint="eastAsia"/>
          <w:color w:val="000000" w:themeColor="text1"/>
          <w14:textFill>
            <w14:solidFill>
              <w14:schemeClr w14:val="tx1"/>
            </w14:solidFill>
          </w14:textFill>
        </w:rPr>
        <w:t>。</w:t>
      </w:r>
    </w:p>
    <w:p w14:paraId="120FEF39">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）项目经理：</w:t>
      </w:r>
    </w:p>
    <w:p w14:paraId="70829F6F">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项目经理需至少在投标人公司在职5年以上，项目管理经验1</w:t>
      </w:r>
      <w:r>
        <w:rPr>
          <w:color w:val="000000" w:themeColor="text1"/>
          <w14:textFill>
            <w14:solidFill>
              <w14:schemeClr w14:val="tx1"/>
            </w14:solidFill>
          </w14:textFill>
        </w:rPr>
        <w:t>0</w:t>
      </w:r>
      <w:r>
        <w:rPr>
          <w:rFonts w:hint="eastAsia"/>
          <w:color w:val="000000" w:themeColor="text1"/>
          <w14:textFill>
            <w14:solidFill>
              <w14:schemeClr w14:val="tx1"/>
            </w14:solidFill>
          </w14:textFill>
        </w:rPr>
        <w:t>年以上。</w:t>
      </w:r>
    </w:p>
    <w:p w14:paraId="20F1C154">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.6验收标准</w:t>
      </w:r>
    </w:p>
    <w:p w14:paraId="7592845C">
      <w:pPr>
        <w:spacing w:line="312" w:lineRule="auto"/>
        <w:ind w:firstLine="420" w:firstLineChars="20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中标方提供的APC系统应满足以下验收标准：</w:t>
      </w:r>
    </w:p>
    <w:p w14:paraId="53393605">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平稳操作，减少产品质量波动，主要运行参数标准偏差降低</w:t>
      </w:r>
      <w:r>
        <w:rPr>
          <w:color w:val="000000" w:themeColor="text1"/>
          <w14:textFill>
            <w14:solidFill>
              <w14:schemeClr w14:val="tx1"/>
            </w14:solidFill>
          </w14:textFill>
        </w:rPr>
        <w:t>30%</w:t>
      </w:r>
      <w:r>
        <w:rPr>
          <w:rFonts w:hint="eastAsia"/>
          <w:color w:val="000000" w:themeColor="text1"/>
          <w14:textFill>
            <w14:solidFill>
              <w14:schemeClr w14:val="tx1"/>
            </w14:solidFill>
          </w14:textFill>
        </w:rPr>
        <w:t>以上；</w:t>
      </w:r>
    </w:p>
    <w:p w14:paraId="54DA4CB6">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保证产品质量，实现氧化产品4</w:t>
      </w:r>
      <w:r>
        <w:rPr>
          <w:color w:val="000000" w:themeColor="text1"/>
          <w14:textFill>
            <w14:solidFill>
              <w14:schemeClr w14:val="tx1"/>
            </w14:solidFill>
          </w14:textFill>
        </w:rPr>
        <w:t>-CBA</w:t>
      </w:r>
      <w:r>
        <w:rPr>
          <w:rFonts w:hint="eastAsia"/>
          <w:color w:val="000000" w:themeColor="text1"/>
          <w14:textFill>
            <w14:solidFill>
              <w14:schemeClr w14:val="tx1"/>
            </w14:solidFill>
          </w14:textFill>
        </w:rPr>
        <w:t>质量在线预测；</w:t>
      </w:r>
    </w:p>
    <w:p w14:paraId="55BDB55D">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提高系统应用水平，保证系统上线及维保期内</w:t>
      </w:r>
      <w:r>
        <w:rPr>
          <w:color w:val="000000" w:themeColor="text1"/>
          <w14:textFill>
            <w14:solidFill>
              <w14:schemeClr w14:val="tx1"/>
            </w14:solidFill>
          </w14:textFill>
        </w:rPr>
        <w:t>95%</w:t>
      </w:r>
      <w:r>
        <w:rPr>
          <w:rFonts w:hint="eastAsia"/>
          <w:color w:val="000000" w:themeColor="text1"/>
          <w14:textFill>
            <w14:solidFill>
              <w14:schemeClr w14:val="tx1"/>
            </w14:solidFill>
          </w14:textFill>
        </w:rPr>
        <w:t>投用；</w:t>
      </w:r>
    </w:p>
    <w:p w14:paraId="3A1791A0">
      <w:pPr>
        <w:pStyle w:val="14"/>
        <w:numPr>
          <w:ilvl w:val="0"/>
          <w:numId w:val="2"/>
        </w:numPr>
        <w:spacing w:line="312" w:lineRule="auto"/>
        <w:rPr>
          <w:color w:val="000000" w:themeColor="text1"/>
          <w14:textFill>
            <w14:solidFill>
              <w14:schemeClr w14:val="tx1"/>
            </w14:solidFill>
          </w14:textFill>
        </w:rPr>
      </w:pPr>
      <w:r>
        <w:rPr>
          <w:rFonts w:hint="eastAsia"/>
          <w:color w:val="000000" w:themeColor="text1"/>
          <w14:textFill>
            <w14:solidFill>
              <w14:schemeClr w14:val="tx1"/>
            </w14:solidFill>
          </w14:textFill>
        </w:rPr>
        <w:t>系统上线后，在P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装置基本相同的工况下，降低</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装置醋酸单耗0.2kg/t PTA、对二甲苯单耗0.1kg/t PTA及以上。</w:t>
      </w:r>
    </w:p>
    <w:p w14:paraId="09CB6257">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.7安全保密要求</w:t>
      </w:r>
    </w:p>
    <w:p w14:paraId="5A8851E9">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必须承诺对因执行本次招标和项目实施，而直接或间接地接触到的相关组织机构、业务等任何秘密的或专有的信息（如实施和管理经验、职员资料及内部公开的财务、生产经营资料、生产工艺与控制模型、项目实施过程中原始数据、各类中间文件（含配置文件、组态文件等）、DCS逻辑保护程序、甲方专有的文件资料等）进行保密，按照要求与招标人签订保密协议，保密期限为相应装置的项目验收后5年。</w:t>
      </w:r>
    </w:p>
    <w:p w14:paraId="3ABB3B3A">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.8服务要求</w:t>
      </w:r>
    </w:p>
    <w:p w14:paraId="3BDBE2E8">
      <w:pPr>
        <w:pStyle w:val="14"/>
        <w:numPr>
          <w:ilvl w:val="0"/>
          <w:numId w:val="6"/>
        </w:numPr>
        <w:spacing w:line="312" w:lineRule="auto"/>
        <w:ind w:left="850" w:hanging="357"/>
        <w:rPr>
          <w:color w:val="000000" w:themeColor="text1"/>
          <w14:textFill>
            <w14:solidFill>
              <w14:schemeClr w14:val="tx1"/>
            </w14:solidFill>
          </w14:textFill>
        </w:rPr>
      </w:pPr>
      <w:r>
        <w:rPr>
          <w:rFonts w:hint="eastAsia"/>
          <w:color w:val="000000" w:themeColor="text1"/>
          <w14:textFill>
            <w14:solidFill>
              <w14:schemeClr w14:val="tx1"/>
            </w14:solidFill>
          </w14:textFill>
        </w:rPr>
        <w:t>投标人须提供</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装置的先进控制系统软件包，软件包必须是成熟的软件版本。</w:t>
      </w:r>
    </w:p>
    <w:p w14:paraId="7D9CB904">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投标人须结合本项目的各项要求，选派具备专业技术能力的专家，完成</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装置先进控制系统的实施工作。</w:t>
      </w:r>
    </w:p>
    <w:p w14:paraId="0072CD63">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投标人应细化和明确项目执行计划，明确本方职责分工。</w:t>
      </w:r>
    </w:p>
    <w:p w14:paraId="4F3DF70D">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投标人须在</w:t>
      </w:r>
      <w:r>
        <w:rPr>
          <w:color w:val="000000" w:themeColor="text1"/>
          <w14:textFill>
            <w14:solidFill>
              <w14:schemeClr w14:val="tx1"/>
            </w14:solidFill>
          </w14:textFill>
        </w:rPr>
        <w:t>450万吨/</w:t>
      </w:r>
      <w:r>
        <w:rPr>
          <w:rFonts w:hint="eastAsia"/>
          <w:color w:val="000000" w:themeColor="text1"/>
          <w14:textFill>
            <w14:solidFill>
              <w14:schemeClr w14:val="tx1"/>
            </w14:solidFill>
          </w14:textFill>
        </w:rPr>
        <w:t>年P</w:t>
      </w:r>
      <w:r>
        <w:rPr>
          <w:color w:val="000000" w:themeColor="text1"/>
          <w14:textFill>
            <w14:solidFill>
              <w14:schemeClr w14:val="tx1"/>
            </w14:solidFill>
          </w14:textFill>
        </w:rPr>
        <w:t>TA</w:t>
      </w:r>
      <w:r>
        <w:rPr>
          <w:rFonts w:hint="eastAsia"/>
          <w:color w:val="000000" w:themeColor="text1"/>
          <w14:textFill>
            <w14:solidFill>
              <w14:schemeClr w14:val="tx1"/>
            </w14:solidFill>
          </w14:textFill>
        </w:rPr>
        <w:t>装置建立先进控制系统。负责完成硬件之间的网络架构与通讯连接以及DCS界面组态的基础上，完成软件的安装和系统的上线工作。</w:t>
      </w:r>
    </w:p>
    <w:p w14:paraId="173B8E62">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投标人负责关键用户培训工作，提供简体中文版技术手册、运维手册、培训手册等材料，做好知识转移。</w:t>
      </w:r>
    </w:p>
    <w:p w14:paraId="62D210AE">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投标人负责确保模型的精度，若有需要，整定模型。</w:t>
      </w:r>
    </w:p>
    <w:p w14:paraId="5C252D22">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产品许可要求：投标人提供的先进控制软件授权期自软件交付之日起不低于</w:t>
      </w:r>
      <w:r>
        <w:rPr>
          <w:color w:val="000000" w:themeColor="text1"/>
          <w14:textFill>
            <w14:solidFill>
              <w14:schemeClr w14:val="tx1"/>
            </w14:solidFill>
          </w14:textFill>
        </w:rPr>
        <w:t>20</w:t>
      </w:r>
      <w:r>
        <w:rPr>
          <w:rFonts w:hint="eastAsia"/>
          <w:color w:val="000000" w:themeColor="text1"/>
          <w14:textFill>
            <w14:solidFill>
              <w14:schemeClr w14:val="tx1"/>
            </w14:solidFill>
          </w14:textFill>
        </w:rPr>
        <w:t>年。</w:t>
      </w:r>
    </w:p>
    <w:p w14:paraId="194168DD">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运维服务要求：提供项目验收后</w:t>
      </w:r>
      <w:r>
        <w:rPr>
          <w:color w:val="000000" w:themeColor="text1"/>
          <w14:textFill>
            <w14:solidFill>
              <w14:schemeClr w14:val="tx1"/>
            </w14:solidFill>
          </w14:textFill>
        </w:rPr>
        <w:t>3</w:t>
      </w:r>
      <w:r>
        <w:rPr>
          <w:rFonts w:hint="eastAsia"/>
          <w:color w:val="000000" w:themeColor="text1"/>
          <w14:textFill>
            <w14:solidFill>
              <w14:schemeClr w14:val="tx1"/>
            </w14:solidFill>
          </w14:textFill>
        </w:rPr>
        <w:t>年的运维支持和服务。在软件的许可期内提供软件的升级和软件维护。售后服务方案应涵盖服务内容、服务方式、响应能力、响应时间、技术人员构成等内容。</w:t>
      </w:r>
    </w:p>
    <w:p w14:paraId="7D60B542">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投标人要按照项目实施计划要求，制定项目详细可行的具体实施方案和进度控制措施，严格执行实施计划，确保按时间要求完成项目实施工作。</w:t>
      </w:r>
    </w:p>
    <w:p w14:paraId="0216900E">
      <w:pPr>
        <w:pStyle w:val="14"/>
        <w:numPr>
          <w:ilvl w:val="0"/>
          <w:numId w:val="6"/>
        </w:numPr>
        <w:spacing w:line="312" w:lineRule="auto"/>
        <w:ind w:left="851"/>
        <w:rPr>
          <w:color w:val="000000" w:themeColor="text1"/>
          <w14:textFill>
            <w14:solidFill>
              <w14:schemeClr w14:val="tx1"/>
            </w14:solidFill>
          </w14:textFill>
        </w:rPr>
      </w:pPr>
      <w:r>
        <w:rPr>
          <w:rFonts w:hint="eastAsia"/>
          <w:color w:val="000000" w:themeColor="text1"/>
          <w14:textFill>
            <w14:solidFill>
              <w14:schemeClr w14:val="tx1"/>
            </w14:solidFill>
          </w14:textFill>
        </w:rPr>
        <w:t>培训服务要求：培训应包含标准课程培训和现场培训。投标人需提供培训内容对应的纸质或电子类详细资料。投标人应做好培训计划，提供培训环境，约定培训地点。</w:t>
      </w:r>
    </w:p>
    <w:p w14:paraId="36A10BEE">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投标人需对以上服务要求进行逐项应答，如果有偏离，请填写在技术偏离表中。技术偏离表中无体现的，视为投标人可满足招标文件的要求，后期合同按招标要求执行。</w:t>
      </w:r>
    </w:p>
    <w:p w14:paraId="5B536EB2">
      <w:pPr>
        <w:spacing w:line="312" w:lineRule="auto"/>
        <w:ind w:left="357"/>
        <w:rPr>
          <w:b/>
          <w:bCs/>
          <w:color w:val="000000" w:themeColor="text1"/>
          <w:szCs w:val="21"/>
          <w14:textFill>
            <w14:solidFill>
              <w14:schemeClr w14:val="tx1"/>
            </w14:solidFill>
          </w14:textFill>
        </w:rPr>
      </w:pPr>
      <w:r>
        <w:rPr>
          <w:b/>
          <w:bCs/>
          <w:color w:val="000000" w:themeColor="text1"/>
          <w:szCs w:val="21"/>
          <w14:textFill>
            <w14:solidFill>
              <w14:schemeClr w14:val="tx1"/>
            </w14:solidFill>
          </w14:textFill>
        </w:rPr>
        <w:t>5</w:t>
      </w:r>
      <w:r>
        <w:rPr>
          <w:rFonts w:hint="eastAsia"/>
          <w:b/>
          <w:bCs/>
          <w:color w:val="000000" w:themeColor="text1"/>
          <w:szCs w:val="21"/>
          <w14:textFill>
            <w14:solidFill>
              <w14:schemeClr w14:val="tx1"/>
            </w14:solidFill>
          </w14:textFill>
        </w:rPr>
        <w:t>.9价格</w:t>
      </w:r>
    </w:p>
    <w:p w14:paraId="75731477">
      <w:pPr>
        <w:spacing w:line="312" w:lineRule="auto"/>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投标人的产品报价应包含所有货品制造（不含</w:t>
      </w:r>
      <w:r>
        <w:rPr>
          <w:color w:val="000000" w:themeColor="text1"/>
          <w14:textFill>
            <w14:solidFill>
              <w14:schemeClr w14:val="tx1"/>
            </w14:solidFill>
          </w14:textFill>
        </w:rPr>
        <w:t>在线分析仪</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在线分析仪由福海创提供</w:t>
      </w:r>
      <w:r>
        <w:rPr>
          <w:rFonts w:hint="eastAsia"/>
          <w:color w:val="000000" w:themeColor="text1"/>
          <w14:textFill>
            <w14:solidFill>
              <w14:schemeClr w14:val="tx1"/>
            </w14:solidFill>
          </w14:textFill>
        </w:rPr>
        <w:t>）、运输、安装、调试、验收、交付使用、使用培训、试点实施、售后服务、税费（软件税率13%，服务税率6%）等一切费用。</w:t>
      </w:r>
    </w:p>
    <w:sectPr>
      <w:footerReference r:id="rId5" w:type="default"/>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F7CAC">
    <w:pPr>
      <w:pStyle w:val="6"/>
    </w:pPr>
    <w:r>
      <w:rPr>
        <w14:ligatures w14:val="standardContextual"/>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bac94708b8e8b39f48463538" descr="{&quot;HashCode&quot;:-86544317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wps:spPr>
                    <wps:txbx>
                      <w:txbxContent>
                        <w:p w14:paraId="426736DF">
                          <w:pPr>
                            <w:jc w:val="center"/>
                            <w:rPr>
                              <w:rFonts w:ascii="Calibri" w:hAnsi="Calibri" w:cs="Calibri"/>
                              <w:color w:val="000000"/>
                              <w:sz w:val="12"/>
                            </w:rPr>
                          </w:pPr>
                        </w:p>
                      </w:txbxContent>
                    </wps:txbx>
                    <wps:bodyPr rot="0" spcFirstLastPara="0" vertOverflow="overflow" horzOverflow="overflow" vert="horz" wrap="square" lIns="91440" tIns="0" rIns="91440" bIns="0" numCol="1" spcCol="0" rtlCol="0" fromWordArt="0" anchor="b" anchorCtr="0" forceAA="0" compatLnSpc="1">
                      <a:noAutofit/>
                    </wps:bodyPr>
                  </wps:wsp>
                </a:graphicData>
              </a:graphic>
            </wp:anchor>
          </w:drawing>
        </mc:Choice>
        <mc:Fallback>
          <w:pict>
            <v:shape id="MSIPCMbac94708b8e8b39f48463538" o:spid="_x0000_s1026" o:spt="202" alt="{&quot;HashCode&quot;:-865443172,&quot;Height&quot;:841.0,&quot;Width&quot;:595.0,&quot;Placement&quot;:&quot;Footer&quot;,&quot;Index&quot;:&quot;Primary&quot;,&quot;Section&quot;:1,&quot;Top&quot;:0.0,&quot;Left&quot;:0.0}" type="#_x0000_t202" style="position:absolute;left:0pt;margin-left:0pt;margin-top:805.35pt;height:21.5pt;width:595.3pt;mso-position-horizontal-relative:page;mso-position-vertical-relative:page;z-index:251659264;v-text-anchor:bottom;mso-width-relative:page;mso-height-relative:page;" filled="f" stroked="f" coordsize="21600,21600" o:allowincell="f" o:gfxdata="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KsWtybYAAAACwEAAA8AAAAAAAAAAQAgAAAAIgAAAGRycy9kb3du&#10;cmV2LnhtbFBLAQIUABQAAAAIAIdO4kDpQ0ueqgIAAFoFAAAOAAAAAAAAAAEAIAAAACcBAABkcnMv&#10;ZTJvRG9jLnhtbFBLBQYAAAAABgAGAFkBAABDBgAAAAA=&#10;">
              <v:fill on="f" focussize="0,0"/>
              <v:stroke on="f" weight="0.5pt"/>
              <v:imagedata o:title=""/>
              <o:lock v:ext="edit" aspectratio="f"/>
              <v:textbox inset="2.54mm,0mm,2.54mm,0mm">
                <w:txbxContent>
                  <w:p w14:paraId="426736DF">
                    <w:pPr>
                      <w:jc w:val="center"/>
                      <w:rPr>
                        <w:rFonts w:ascii="Calibri" w:hAnsi="Calibri" w:cs="Calibri"/>
                        <w:color w:val="000000"/>
                        <w:sz w:val="12"/>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E46B3E"/>
    <w:multiLevelType w:val="multilevel"/>
    <w:tmpl w:val="0EE46B3E"/>
    <w:lvl w:ilvl="0" w:tentative="0">
      <w:start w:val="1"/>
      <w:numFmt w:val="bullet"/>
      <w:lvlText w:val=""/>
      <w:lvlJc w:val="left"/>
      <w:pPr>
        <w:ind w:left="1140" w:hanging="360"/>
      </w:pPr>
      <w:rPr>
        <w:rFonts w:hint="default" w:ascii="Symbol" w:hAnsi="Symbol"/>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1">
    <w:nsid w:val="27982A59"/>
    <w:multiLevelType w:val="multilevel"/>
    <w:tmpl w:val="27982A59"/>
    <w:lvl w:ilvl="0" w:tentative="0">
      <w:start w:val="1"/>
      <w:numFmt w:val="bullet"/>
      <w:lvlText w:val=""/>
      <w:lvlJc w:val="left"/>
      <w:pPr>
        <w:ind w:left="1077" w:hanging="360"/>
      </w:pPr>
      <w:rPr>
        <w:rFonts w:hint="default" w:ascii="Wingdings" w:hAnsi="Wingdings"/>
      </w:rPr>
    </w:lvl>
    <w:lvl w:ilvl="1" w:tentative="0">
      <w:start w:val="1"/>
      <w:numFmt w:val="bullet"/>
      <w:lvlText w:val="o"/>
      <w:lvlJc w:val="left"/>
      <w:pPr>
        <w:ind w:left="1797" w:hanging="360"/>
      </w:pPr>
      <w:rPr>
        <w:rFonts w:hint="default" w:ascii="Courier New" w:hAnsi="Courier New" w:cs="Courier New"/>
      </w:rPr>
    </w:lvl>
    <w:lvl w:ilvl="2" w:tentative="0">
      <w:start w:val="1"/>
      <w:numFmt w:val="bullet"/>
      <w:lvlText w:val=""/>
      <w:lvlJc w:val="left"/>
      <w:pPr>
        <w:ind w:left="2517" w:hanging="360"/>
      </w:pPr>
      <w:rPr>
        <w:rFonts w:hint="default" w:ascii="Wingdings" w:hAnsi="Wingdings"/>
      </w:rPr>
    </w:lvl>
    <w:lvl w:ilvl="3" w:tentative="0">
      <w:start w:val="1"/>
      <w:numFmt w:val="bullet"/>
      <w:lvlText w:val=""/>
      <w:lvlJc w:val="left"/>
      <w:pPr>
        <w:ind w:left="3237" w:hanging="360"/>
      </w:pPr>
      <w:rPr>
        <w:rFonts w:hint="default" w:ascii="Symbol" w:hAnsi="Symbol"/>
      </w:rPr>
    </w:lvl>
    <w:lvl w:ilvl="4" w:tentative="0">
      <w:start w:val="1"/>
      <w:numFmt w:val="bullet"/>
      <w:lvlText w:val="o"/>
      <w:lvlJc w:val="left"/>
      <w:pPr>
        <w:ind w:left="3957" w:hanging="360"/>
      </w:pPr>
      <w:rPr>
        <w:rFonts w:hint="default" w:ascii="Courier New" w:hAnsi="Courier New" w:cs="Courier New"/>
      </w:rPr>
    </w:lvl>
    <w:lvl w:ilvl="5" w:tentative="0">
      <w:start w:val="1"/>
      <w:numFmt w:val="bullet"/>
      <w:lvlText w:val=""/>
      <w:lvlJc w:val="left"/>
      <w:pPr>
        <w:ind w:left="4677" w:hanging="360"/>
      </w:pPr>
      <w:rPr>
        <w:rFonts w:hint="default" w:ascii="Wingdings" w:hAnsi="Wingdings"/>
      </w:rPr>
    </w:lvl>
    <w:lvl w:ilvl="6" w:tentative="0">
      <w:start w:val="1"/>
      <w:numFmt w:val="bullet"/>
      <w:lvlText w:val=""/>
      <w:lvlJc w:val="left"/>
      <w:pPr>
        <w:ind w:left="5397" w:hanging="360"/>
      </w:pPr>
      <w:rPr>
        <w:rFonts w:hint="default" w:ascii="Symbol" w:hAnsi="Symbol"/>
      </w:rPr>
    </w:lvl>
    <w:lvl w:ilvl="7" w:tentative="0">
      <w:start w:val="1"/>
      <w:numFmt w:val="bullet"/>
      <w:lvlText w:val="o"/>
      <w:lvlJc w:val="left"/>
      <w:pPr>
        <w:ind w:left="6117" w:hanging="360"/>
      </w:pPr>
      <w:rPr>
        <w:rFonts w:hint="default" w:ascii="Courier New" w:hAnsi="Courier New" w:cs="Courier New"/>
      </w:rPr>
    </w:lvl>
    <w:lvl w:ilvl="8" w:tentative="0">
      <w:start w:val="1"/>
      <w:numFmt w:val="bullet"/>
      <w:lvlText w:val=""/>
      <w:lvlJc w:val="left"/>
      <w:pPr>
        <w:ind w:left="6837" w:hanging="360"/>
      </w:pPr>
      <w:rPr>
        <w:rFonts w:hint="default" w:ascii="Wingdings" w:hAnsi="Wingdings"/>
      </w:rPr>
    </w:lvl>
  </w:abstractNum>
  <w:abstractNum w:abstractNumId="2">
    <w:nsid w:val="3E6F6590"/>
    <w:multiLevelType w:val="multilevel"/>
    <w:tmpl w:val="3E6F6590"/>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521B2F64"/>
    <w:multiLevelType w:val="multilevel"/>
    <w:tmpl w:val="521B2F64"/>
    <w:lvl w:ilvl="0" w:tentative="0">
      <w:start w:val="2"/>
      <w:numFmt w:val="decimal"/>
      <w:lvlText w:val="%1)"/>
      <w:lvlJc w:val="left"/>
      <w:pPr>
        <w:ind w:left="1571" w:hanging="325"/>
      </w:pPr>
      <w:rPr>
        <w:rFonts w:hint="default" w:ascii="宋体" w:hAnsi="宋体" w:eastAsia="宋体" w:cs="宋体"/>
        <w:b w:val="0"/>
        <w:bCs w:val="0"/>
        <w:i w:val="0"/>
        <w:iCs w:val="0"/>
        <w:w w:val="102"/>
        <w:sz w:val="21"/>
        <w:szCs w:val="21"/>
        <w:lang w:val="en-US" w:eastAsia="en-US" w:bidi="ar-SA"/>
      </w:rPr>
    </w:lvl>
    <w:lvl w:ilvl="1" w:tentative="0">
      <w:start w:val="0"/>
      <w:numFmt w:val="bullet"/>
      <w:lvlText w:val="•"/>
      <w:lvlJc w:val="left"/>
      <w:pPr>
        <w:ind w:left="2386" w:hanging="325"/>
      </w:pPr>
      <w:rPr>
        <w:rFonts w:hint="default"/>
        <w:lang w:val="en-US" w:eastAsia="en-US" w:bidi="ar-SA"/>
      </w:rPr>
    </w:lvl>
    <w:lvl w:ilvl="2" w:tentative="0">
      <w:start w:val="0"/>
      <w:numFmt w:val="bullet"/>
      <w:pStyle w:val="19"/>
      <w:lvlText w:val="•"/>
      <w:lvlJc w:val="left"/>
      <w:pPr>
        <w:ind w:left="3192" w:hanging="325"/>
      </w:pPr>
      <w:rPr>
        <w:rFonts w:hint="default"/>
        <w:lang w:val="en-US" w:eastAsia="en-US" w:bidi="ar-SA"/>
      </w:rPr>
    </w:lvl>
    <w:lvl w:ilvl="3" w:tentative="0">
      <w:start w:val="0"/>
      <w:numFmt w:val="bullet"/>
      <w:lvlText w:val="•"/>
      <w:lvlJc w:val="left"/>
      <w:pPr>
        <w:ind w:left="3999" w:hanging="325"/>
      </w:pPr>
      <w:rPr>
        <w:rFonts w:hint="default"/>
        <w:lang w:val="en-US" w:eastAsia="en-US" w:bidi="ar-SA"/>
      </w:rPr>
    </w:lvl>
    <w:lvl w:ilvl="4" w:tentative="0">
      <w:start w:val="0"/>
      <w:numFmt w:val="bullet"/>
      <w:lvlText w:val="•"/>
      <w:lvlJc w:val="left"/>
      <w:pPr>
        <w:ind w:left="4805" w:hanging="325"/>
      </w:pPr>
      <w:rPr>
        <w:rFonts w:hint="default"/>
        <w:lang w:val="en-US" w:eastAsia="en-US" w:bidi="ar-SA"/>
      </w:rPr>
    </w:lvl>
    <w:lvl w:ilvl="5" w:tentative="0">
      <w:start w:val="0"/>
      <w:numFmt w:val="bullet"/>
      <w:lvlText w:val="•"/>
      <w:lvlJc w:val="left"/>
      <w:pPr>
        <w:ind w:left="5612" w:hanging="325"/>
      </w:pPr>
      <w:rPr>
        <w:rFonts w:hint="default"/>
        <w:lang w:val="en-US" w:eastAsia="en-US" w:bidi="ar-SA"/>
      </w:rPr>
    </w:lvl>
    <w:lvl w:ilvl="6" w:tentative="0">
      <w:start w:val="0"/>
      <w:numFmt w:val="bullet"/>
      <w:lvlText w:val="•"/>
      <w:lvlJc w:val="left"/>
      <w:pPr>
        <w:ind w:left="6418" w:hanging="325"/>
      </w:pPr>
      <w:rPr>
        <w:rFonts w:hint="default"/>
        <w:lang w:val="en-US" w:eastAsia="en-US" w:bidi="ar-SA"/>
      </w:rPr>
    </w:lvl>
    <w:lvl w:ilvl="7" w:tentative="0">
      <w:start w:val="0"/>
      <w:numFmt w:val="bullet"/>
      <w:lvlText w:val="•"/>
      <w:lvlJc w:val="left"/>
      <w:pPr>
        <w:ind w:left="7224" w:hanging="325"/>
      </w:pPr>
      <w:rPr>
        <w:rFonts w:hint="default"/>
        <w:lang w:val="en-US" w:eastAsia="en-US" w:bidi="ar-SA"/>
      </w:rPr>
    </w:lvl>
    <w:lvl w:ilvl="8" w:tentative="0">
      <w:start w:val="0"/>
      <w:numFmt w:val="bullet"/>
      <w:lvlText w:val="•"/>
      <w:lvlJc w:val="left"/>
      <w:pPr>
        <w:ind w:left="8031" w:hanging="325"/>
      </w:pPr>
      <w:rPr>
        <w:rFonts w:hint="default"/>
        <w:lang w:val="en-US" w:eastAsia="en-US" w:bidi="ar-SA"/>
      </w:rPr>
    </w:lvl>
  </w:abstractNum>
  <w:abstractNum w:abstractNumId="4">
    <w:nsid w:val="593E58D9"/>
    <w:multiLevelType w:val="multilevel"/>
    <w:tmpl w:val="593E58D9"/>
    <w:lvl w:ilvl="0" w:tentative="0">
      <w:start w:val="1"/>
      <w:numFmt w:val="bullet"/>
      <w:lvlText w:val=""/>
      <w:lvlJc w:val="left"/>
      <w:pPr>
        <w:ind w:left="1140" w:hanging="360"/>
      </w:pPr>
      <w:rPr>
        <w:rFonts w:hint="default" w:ascii="Wingdings" w:hAnsi="Wingdings"/>
      </w:rPr>
    </w:lvl>
    <w:lvl w:ilvl="1" w:tentative="0">
      <w:start w:val="1"/>
      <w:numFmt w:val="bullet"/>
      <w:lvlText w:val="o"/>
      <w:lvlJc w:val="left"/>
      <w:pPr>
        <w:ind w:left="1860" w:hanging="360"/>
      </w:pPr>
      <w:rPr>
        <w:rFonts w:hint="default" w:ascii="Courier New" w:hAnsi="Courier New" w:cs="Courier New"/>
      </w:rPr>
    </w:lvl>
    <w:lvl w:ilvl="2" w:tentative="0">
      <w:start w:val="1"/>
      <w:numFmt w:val="bullet"/>
      <w:lvlText w:val=""/>
      <w:lvlJc w:val="left"/>
      <w:pPr>
        <w:ind w:left="2580" w:hanging="360"/>
      </w:pPr>
      <w:rPr>
        <w:rFonts w:hint="default" w:ascii="Wingdings" w:hAnsi="Wingdings"/>
      </w:rPr>
    </w:lvl>
    <w:lvl w:ilvl="3" w:tentative="0">
      <w:start w:val="1"/>
      <w:numFmt w:val="bullet"/>
      <w:lvlText w:val=""/>
      <w:lvlJc w:val="left"/>
      <w:pPr>
        <w:ind w:left="3300" w:hanging="360"/>
      </w:pPr>
      <w:rPr>
        <w:rFonts w:hint="default" w:ascii="Symbol" w:hAnsi="Symbol"/>
      </w:rPr>
    </w:lvl>
    <w:lvl w:ilvl="4" w:tentative="0">
      <w:start w:val="1"/>
      <w:numFmt w:val="bullet"/>
      <w:lvlText w:val="o"/>
      <w:lvlJc w:val="left"/>
      <w:pPr>
        <w:ind w:left="4020" w:hanging="360"/>
      </w:pPr>
      <w:rPr>
        <w:rFonts w:hint="default" w:ascii="Courier New" w:hAnsi="Courier New" w:cs="Courier New"/>
      </w:rPr>
    </w:lvl>
    <w:lvl w:ilvl="5" w:tentative="0">
      <w:start w:val="1"/>
      <w:numFmt w:val="bullet"/>
      <w:lvlText w:val=""/>
      <w:lvlJc w:val="left"/>
      <w:pPr>
        <w:ind w:left="4740" w:hanging="360"/>
      </w:pPr>
      <w:rPr>
        <w:rFonts w:hint="default" w:ascii="Wingdings" w:hAnsi="Wingdings"/>
      </w:rPr>
    </w:lvl>
    <w:lvl w:ilvl="6" w:tentative="0">
      <w:start w:val="1"/>
      <w:numFmt w:val="bullet"/>
      <w:lvlText w:val=""/>
      <w:lvlJc w:val="left"/>
      <w:pPr>
        <w:ind w:left="5460" w:hanging="360"/>
      </w:pPr>
      <w:rPr>
        <w:rFonts w:hint="default" w:ascii="Symbol" w:hAnsi="Symbol"/>
      </w:rPr>
    </w:lvl>
    <w:lvl w:ilvl="7" w:tentative="0">
      <w:start w:val="1"/>
      <w:numFmt w:val="bullet"/>
      <w:lvlText w:val="o"/>
      <w:lvlJc w:val="left"/>
      <w:pPr>
        <w:ind w:left="6180" w:hanging="360"/>
      </w:pPr>
      <w:rPr>
        <w:rFonts w:hint="default" w:ascii="Courier New" w:hAnsi="Courier New" w:cs="Courier New"/>
      </w:rPr>
    </w:lvl>
    <w:lvl w:ilvl="8" w:tentative="0">
      <w:start w:val="1"/>
      <w:numFmt w:val="bullet"/>
      <w:lvlText w:val=""/>
      <w:lvlJc w:val="left"/>
      <w:pPr>
        <w:ind w:left="6900" w:hanging="360"/>
      </w:pPr>
      <w:rPr>
        <w:rFonts w:hint="default" w:ascii="Wingdings" w:hAnsi="Wingdings"/>
      </w:rPr>
    </w:lvl>
  </w:abstractNum>
  <w:abstractNum w:abstractNumId="5">
    <w:nsid w:val="6F9D1A7A"/>
    <w:multiLevelType w:val="multilevel"/>
    <w:tmpl w:val="6F9D1A7A"/>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A40"/>
    <w:rsid w:val="00010A64"/>
    <w:rsid w:val="00012DCB"/>
    <w:rsid w:val="00035650"/>
    <w:rsid w:val="00042B08"/>
    <w:rsid w:val="00044015"/>
    <w:rsid w:val="00046D3B"/>
    <w:rsid w:val="00064F7E"/>
    <w:rsid w:val="0007185C"/>
    <w:rsid w:val="00087DFA"/>
    <w:rsid w:val="0009584C"/>
    <w:rsid w:val="000B11E9"/>
    <w:rsid w:val="000C3498"/>
    <w:rsid w:val="000C5474"/>
    <w:rsid w:val="000D57B1"/>
    <w:rsid w:val="000E599A"/>
    <w:rsid w:val="000F28D2"/>
    <w:rsid w:val="00102B0C"/>
    <w:rsid w:val="00136518"/>
    <w:rsid w:val="00142869"/>
    <w:rsid w:val="001605C0"/>
    <w:rsid w:val="00163A15"/>
    <w:rsid w:val="00167BBB"/>
    <w:rsid w:val="00176327"/>
    <w:rsid w:val="001B14D6"/>
    <w:rsid w:val="001C77A4"/>
    <w:rsid w:val="001D2390"/>
    <w:rsid w:val="001E2D53"/>
    <w:rsid w:val="001F4373"/>
    <w:rsid w:val="00216C80"/>
    <w:rsid w:val="002241B1"/>
    <w:rsid w:val="00253A40"/>
    <w:rsid w:val="002600BD"/>
    <w:rsid w:val="00270FB5"/>
    <w:rsid w:val="00286D98"/>
    <w:rsid w:val="002A4F1F"/>
    <w:rsid w:val="002C18FA"/>
    <w:rsid w:val="00305138"/>
    <w:rsid w:val="0031429F"/>
    <w:rsid w:val="00321E44"/>
    <w:rsid w:val="0034023E"/>
    <w:rsid w:val="00355048"/>
    <w:rsid w:val="00360CF3"/>
    <w:rsid w:val="00382D39"/>
    <w:rsid w:val="0038318D"/>
    <w:rsid w:val="003A17AE"/>
    <w:rsid w:val="003A3736"/>
    <w:rsid w:val="003A6923"/>
    <w:rsid w:val="003B05B9"/>
    <w:rsid w:val="003B6E1B"/>
    <w:rsid w:val="003D1475"/>
    <w:rsid w:val="003D1478"/>
    <w:rsid w:val="003D38E2"/>
    <w:rsid w:val="00400245"/>
    <w:rsid w:val="00404AFA"/>
    <w:rsid w:val="00430457"/>
    <w:rsid w:val="0043662C"/>
    <w:rsid w:val="00443297"/>
    <w:rsid w:val="00454458"/>
    <w:rsid w:val="00456E25"/>
    <w:rsid w:val="00460974"/>
    <w:rsid w:val="0048045E"/>
    <w:rsid w:val="004947A2"/>
    <w:rsid w:val="00495142"/>
    <w:rsid w:val="004C19AA"/>
    <w:rsid w:val="004C4D85"/>
    <w:rsid w:val="004D26F5"/>
    <w:rsid w:val="004D55DC"/>
    <w:rsid w:val="004E5ABD"/>
    <w:rsid w:val="004E7F2E"/>
    <w:rsid w:val="004F3896"/>
    <w:rsid w:val="00572CF6"/>
    <w:rsid w:val="0059438A"/>
    <w:rsid w:val="005B1B98"/>
    <w:rsid w:val="005C0CDC"/>
    <w:rsid w:val="005D1530"/>
    <w:rsid w:val="005E4A49"/>
    <w:rsid w:val="005F1ADB"/>
    <w:rsid w:val="005F1BB2"/>
    <w:rsid w:val="00610EEC"/>
    <w:rsid w:val="00612805"/>
    <w:rsid w:val="0067313F"/>
    <w:rsid w:val="006868B7"/>
    <w:rsid w:val="00687ADF"/>
    <w:rsid w:val="0069020E"/>
    <w:rsid w:val="006902E4"/>
    <w:rsid w:val="00690485"/>
    <w:rsid w:val="006A07F6"/>
    <w:rsid w:val="006A411D"/>
    <w:rsid w:val="006B29D8"/>
    <w:rsid w:val="006C396D"/>
    <w:rsid w:val="006D1D84"/>
    <w:rsid w:val="006E34EE"/>
    <w:rsid w:val="006F296B"/>
    <w:rsid w:val="006F7485"/>
    <w:rsid w:val="0071137C"/>
    <w:rsid w:val="007347EC"/>
    <w:rsid w:val="0075213B"/>
    <w:rsid w:val="00762D12"/>
    <w:rsid w:val="00770948"/>
    <w:rsid w:val="00770BB6"/>
    <w:rsid w:val="00776061"/>
    <w:rsid w:val="007877E9"/>
    <w:rsid w:val="00787C91"/>
    <w:rsid w:val="00787D65"/>
    <w:rsid w:val="00793028"/>
    <w:rsid w:val="0079640B"/>
    <w:rsid w:val="007D7A7A"/>
    <w:rsid w:val="007F1A1B"/>
    <w:rsid w:val="007F1A21"/>
    <w:rsid w:val="007F6B36"/>
    <w:rsid w:val="00801135"/>
    <w:rsid w:val="00814071"/>
    <w:rsid w:val="00822F5A"/>
    <w:rsid w:val="0082700F"/>
    <w:rsid w:val="00834C4B"/>
    <w:rsid w:val="00877623"/>
    <w:rsid w:val="00886A67"/>
    <w:rsid w:val="008A5595"/>
    <w:rsid w:val="008B1F4C"/>
    <w:rsid w:val="008B25A8"/>
    <w:rsid w:val="008B49B0"/>
    <w:rsid w:val="008D1FBF"/>
    <w:rsid w:val="00911403"/>
    <w:rsid w:val="00930167"/>
    <w:rsid w:val="00967C59"/>
    <w:rsid w:val="009915CE"/>
    <w:rsid w:val="009962D8"/>
    <w:rsid w:val="009C3E71"/>
    <w:rsid w:val="009C79D7"/>
    <w:rsid w:val="00A02339"/>
    <w:rsid w:val="00A03495"/>
    <w:rsid w:val="00A10689"/>
    <w:rsid w:val="00A17DBB"/>
    <w:rsid w:val="00A2018B"/>
    <w:rsid w:val="00A24CD5"/>
    <w:rsid w:val="00A32F70"/>
    <w:rsid w:val="00A93C23"/>
    <w:rsid w:val="00A94CCC"/>
    <w:rsid w:val="00AF783E"/>
    <w:rsid w:val="00B66A54"/>
    <w:rsid w:val="00B66B03"/>
    <w:rsid w:val="00B729A5"/>
    <w:rsid w:val="00BC6B99"/>
    <w:rsid w:val="00BD0C6A"/>
    <w:rsid w:val="00BD4C86"/>
    <w:rsid w:val="00BF451B"/>
    <w:rsid w:val="00C057ED"/>
    <w:rsid w:val="00C43312"/>
    <w:rsid w:val="00C64062"/>
    <w:rsid w:val="00C969D1"/>
    <w:rsid w:val="00C97D74"/>
    <w:rsid w:val="00CB26B4"/>
    <w:rsid w:val="00CC73C5"/>
    <w:rsid w:val="00CD6E89"/>
    <w:rsid w:val="00CF0D66"/>
    <w:rsid w:val="00CF2B27"/>
    <w:rsid w:val="00CF6EDD"/>
    <w:rsid w:val="00D066C2"/>
    <w:rsid w:val="00D2703F"/>
    <w:rsid w:val="00D40AC0"/>
    <w:rsid w:val="00D44542"/>
    <w:rsid w:val="00D47FD8"/>
    <w:rsid w:val="00D5421F"/>
    <w:rsid w:val="00D5605E"/>
    <w:rsid w:val="00D604C3"/>
    <w:rsid w:val="00D90BF5"/>
    <w:rsid w:val="00DE6F3C"/>
    <w:rsid w:val="00E01227"/>
    <w:rsid w:val="00E45685"/>
    <w:rsid w:val="00E5647D"/>
    <w:rsid w:val="00E57751"/>
    <w:rsid w:val="00E61F90"/>
    <w:rsid w:val="00E930A5"/>
    <w:rsid w:val="00E93899"/>
    <w:rsid w:val="00E93D9B"/>
    <w:rsid w:val="00E97A97"/>
    <w:rsid w:val="00EA1F20"/>
    <w:rsid w:val="00EB015E"/>
    <w:rsid w:val="00EC3A7A"/>
    <w:rsid w:val="00ED0728"/>
    <w:rsid w:val="00EE655A"/>
    <w:rsid w:val="00EF2F9E"/>
    <w:rsid w:val="00EF3707"/>
    <w:rsid w:val="00F02479"/>
    <w:rsid w:val="00F06696"/>
    <w:rsid w:val="00F149C1"/>
    <w:rsid w:val="00F325D7"/>
    <w:rsid w:val="00F36623"/>
    <w:rsid w:val="00F40CB7"/>
    <w:rsid w:val="00F57070"/>
    <w:rsid w:val="00F630F5"/>
    <w:rsid w:val="00F65ED8"/>
    <w:rsid w:val="00F70AE4"/>
    <w:rsid w:val="00F720CB"/>
    <w:rsid w:val="00F75DCF"/>
    <w:rsid w:val="00F90B4C"/>
    <w:rsid w:val="00FA4778"/>
    <w:rsid w:val="00FA48AC"/>
    <w:rsid w:val="00FB608E"/>
    <w:rsid w:val="00FC190B"/>
    <w:rsid w:val="00FC5CA0"/>
    <w:rsid w:val="00FD0E96"/>
    <w:rsid w:val="00FE3E82"/>
    <w:rsid w:val="5F50019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Times New Roman" w:hAnsi="Times New Roman" w:eastAsia="宋体" w:cs="Times New Roman"/>
      <w:kern w:val="2"/>
      <w:sz w:val="21"/>
      <w:szCs w:val="24"/>
      <w:lang w:val="en-US" w:eastAsia="zh-CN" w:bidi="ar-SA"/>
      <w14:ligatures w14:val="none"/>
    </w:rPr>
  </w:style>
  <w:style w:type="paragraph" w:styleId="2">
    <w:name w:val="heading 3"/>
    <w:basedOn w:val="1"/>
    <w:next w:val="1"/>
    <w:link w:val="21"/>
    <w:semiHidden/>
    <w:unhideWhenUsed/>
    <w:qFormat/>
    <w:uiPriority w:val="9"/>
    <w:pPr>
      <w:keepNext/>
      <w:keepLines/>
      <w:spacing w:before="40"/>
      <w:outlineLvl w:val="2"/>
    </w:pPr>
    <w:rPr>
      <w:rFonts w:asciiTheme="majorHAnsi" w:hAnsiTheme="majorHAnsi" w:eastAsiaTheme="majorEastAsia" w:cstheme="majorBidi"/>
      <w:color w:val="203864" w:themeColor="accent1" w:themeShade="80"/>
      <w:sz w:val="2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2"/>
    <w:unhideWhenUsed/>
    <w:qFormat/>
    <w:uiPriority w:val="99"/>
    <w:pPr>
      <w:jc w:val="left"/>
    </w:pPr>
  </w:style>
  <w:style w:type="paragraph" w:styleId="4">
    <w:name w:val="Body Text"/>
    <w:basedOn w:val="1"/>
    <w:link w:val="18"/>
    <w:qFormat/>
    <w:uiPriority w:val="1"/>
    <w:pPr>
      <w:autoSpaceDE w:val="0"/>
      <w:autoSpaceDN w:val="0"/>
      <w:jc w:val="left"/>
    </w:pPr>
    <w:rPr>
      <w:rFonts w:ascii="宋体" w:hAnsi="宋体" w:cs="宋体"/>
      <w:kern w:val="0"/>
      <w:szCs w:val="21"/>
      <w:lang w:eastAsia="en-US"/>
    </w:rPr>
  </w:style>
  <w:style w:type="paragraph" w:styleId="5">
    <w:name w:val="Balloon Text"/>
    <w:basedOn w:val="1"/>
    <w:link w:val="24"/>
    <w:semiHidden/>
    <w:unhideWhenUsed/>
    <w:qFormat/>
    <w:uiPriority w:val="99"/>
    <w:rPr>
      <w:sz w:val="18"/>
      <w:szCs w:val="18"/>
    </w:rPr>
  </w:style>
  <w:style w:type="paragraph" w:styleId="6">
    <w:name w:val="footer"/>
    <w:basedOn w:val="1"/>
    <w:link w:val="17"/>
    <w:unhideWhenUsed/>
    <w:qFormat/>
    <w:uiPriority w:val="99"/>
    <w:pPr>
      <w:tabs>
        <w:tab w:val="center" w:pos="4320"/>
        <w:tab w:val="right" w:pos="8640"/>
      </w:tabs>
    </w:pPr>
  </w:style>
  <w:style w:type="paragraph" w:styleId="7">
    <w:name w:val="header"/>
    <w:basedOn w:val="1"/>
    <w:link w:val="16"/>
    <w:unhideWhenUsed/>
    <w:qFormat/>
    <w:uiPriority w:val="99"/>
    <w:pPr>
      <w:tabs>
        <w:tab w:val="center" w:pos="4320"/>
        <w:tab w:val="right" w:pos="8640"/>
      </w:tabs>
    </w:pPr>
  </w:style>
  <w:style w:type="paragraph" w:styleId="8">
    <w:name w:val="annotation subject"/>
    <w:basedOn w:val="3"/>
    <w:next w:val="3"/>
    <w:link w:val="23"/>
    <w:semiHidden/>
    <w:unhideWhenUsed/>
    <w:uiPriority w:val="99"/>
    <w:rPr>
      <w:b/>
      <w:bCs/>
    </w:rPr>
  </w:style>
  <w:style w:type="table" w:styleId="10">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paragraph" w:customStyle="1" w:styleId="13">
    <w:name w:val="Revision"/>
    <w:hidden/>
    <w:semiHidden/>
    <w:qFormat/>
    <w:uiPriority w:val="99"/>
    <w:pPr>
      <w:spacing w:after="0" w:line="240" w:lineRule="auto"/>
    </w:pPr>
    <w:rPr>
      <w:rFonts w:ascii="Times New Roman" w:hAnsi="Times New Roman" w:eastAsia="宋体" w:cs="Times New Roman"/>
      <w:kern w:val="2"/>
      <w:sz w:val="21"/>
      <w:szCs w:val="24"/>
      <w:lang w:val="en-US" w:eastAsia="zh-CN" w:bidi="ar-SA"/>
      <w14:ligatures w14:val="none"/>
    </w:rPr>
  </w:style>
  <w:style w:type="paragraph" w:styleId="14">
    <w:name w:val="List Paragraph"/>
    <w:basedOn w:val="1"/>
    <w:link w:val="15"/>
    <w:qFormat/>
    <w:uiPriority w:val="34"/>
    <w:pPr>
      <w:ind w:left="720"/>
      <w:contextualSpacing/>
    </w:pPr>
  </w:style>
  <w:style w:type="character" w:customStyle="1" w:styleId="15">
    <w:name w:val="列出段落 字符"/>
    <w:link w:val="14"/>
    <w:qFormat/>
    <w:uiPriority w:val="34"/>
    <w:rPr>
      <w:rFonts w:ascii="Times New Roman" w:hAnsi="Times New Roman" w:eastAsia="宋体" w:cs="Times New Roman"/>
      <w:sz w:val="21"/>
      <w:szCs w:val="24"/>
      <w:lang w:val="en-US"/>
      <w14:ligatures w14:val="none"/>
    </w:rPr>
  </w:style>
  <w:style w:type="character" w:customStyle="1" w:styleId="16">
    <w:name w:val="页眉 字符"/>
    <w:basedOn w:val="11"/>
    <w:link w:val="7"/>
    <w:uiPriority w:val="99"/>
    <w:rPr>
      <w:rFonts w:ascii="Times New Roman" w:hAnsi="Times New Roman" w:eastAsia="宋体" w:cs="Times New Roman"/>
      <w:sz w:val="21"/>
      <w:szCs w:val="24"/>
      <w:lang w:val="en-US"/>
      <w14:ligatures w14:val="none"/>
    </w:rPr>
  </w:style>
  <w:style w:type="character" w:customStyle="1" w:styleId="17">
    <w:name w:val="页脚 字符"/>
    <w:basedOn w:val="11"/>
    <w:link w:val="6"/>
    <w:qFormat/>
    <w:uiPriority w:val="99"/>
    <w:rPr>
      <w:rFonts w:ascii="Times New Roman" w:hAnsi="Times New Roman" w:eastAsia="宋体" w:cs="Times New Roman"/>
      <w:sz w:val="21"/>
      <w:szCs w:val="24"/>
      <w:lang w:val="en-US"/>
      <w14:ligatures w14:val="none"/>
    </w:rPr>
  </w:style>
  <w:style w:type="character" w:customStyle="1" w:styleId="18">
    <w:name w:val="正文文本 字符"/>
    <w:basedOn w:val="11"/>
    <w:link w:val="4"/>
    <w:uiPriority w:val="1"/>
    <w:rPr>
      <w:rFonts w:ascii="宋体" w:hAnsi="宋体" w:eastAsia="宋体" w:cs="宋体"/>
      <w:kern w:val="0"/>
      <w:sz w:val="21"/>
      <w:szCs w:val="21"/>
      <w:lang w:val="en-US" w:eastAsia="en-US"/>
      <w14:ligatures w14:val="none"/>
    </w:rPr>
  </w:style>
  <w:style w:type="paragraph" w:customStyle="1" w:styleId="19">
    <w:name w:val="heading 3级"/>
    <w:basedOn w:val="1"/>
    <w:next w:val="2"/>
    <w:link w:val="20"/>
    <w:qFormat/>
    <w:uiPriority w:val="0"/>
    <w:pPr>
      <w:numPr>
        <w:ilvl w:val="2"/>
        <w:numId w:val="1"/>
      </w:numPr>
      <w:spacing w:before="240" w:after="60"/>
      <w:jc w:val="left"/>
      <w:outlineLvl w:val="2"/>
    </w:pPr>
    <w:rPr>
      <w:rFonts w:ascii="宋体" w:hAnsi="宋体" w:cstheme="majorBidi"/>
      <w:b/>
      <w:bCs/>
      <w:sz w:val="24"/>
    </w:rPr>
  </w:style>
  <w:style w:type="character" w:customStyle="1" w:styleId="20">
    <w:name w:val="heading 3级 Char"/>
    <w:basedOn w:val="11"/>
    <w:link w:val="19"/>
    <w:qFormat/>
    <w:uiPriority w:val="0"/>
    <w:rPr>
      <w:rFonts w:ascii="宋体" w:hAnsi="宋体" w:eastAsia="宋体" w:cstheme="majorBidi"/>
      <w:b/>
      <w:bCs/>
      <w:sz w:val="24"/>
      <w:szCs w:val="24"/>
      <w:lang w:val="en-US"/>
      <w14:ligatures w14:val="none"/>
    </w:rPr>
  </w:style>
  <w:style w:type="character" w:customStyle="1" w:styleId="21">
    <w:name w:val="标题 3 字符"/>
    <w:basedOn w:val="11"/>
    <w:link w:val="2"/>
    <w:semiHidden/>
    <w:qFormat/>
    <w:uiPriority w:val="9"/>
    <w:rPr>
      <w:rFonts w:asciiTheme="majorHAnsi" w:hAnsiTheme="majorHAnsi" w:eastAsiaTheme="majorEastAsia" w:cstheme="majorBidi"/>
      <w:color w:val="203864" w:themeColor="accent1" w:themeShade="80"/>
      <w:sz w:val="24"/>
      <w:szCs w:val="24"/>
      <w:lang w:val="en-US"/>
      <w14:ligatures w14:val="none"/>
    </w:rPr>
  </w:style>
  <w:style w:type="character" w:customStyle="1" w:styleId="22">
    <w:name w:val="批注文字 字符"/>
    <w:basedOn w:val="11"/>
    <w:link w:val="3"/>
    <w:qFormat/>
    <w:uiPriority w:val="99"/>
    <w:rPr>
      <w:rFonts w:ascii="Times New Roman" w:hAnsi="Times New Roman" w:eastAsia="宋体" w:cs="Times New Roman"/>
      <w:sz w:val="21"/>
      <w:szCs w:val="24"/>
      <w:lang w:val="en-US"/>
      <w14:ligatures w14:val="none"/>
    </w:rPr>
  </w:style>
  <w:style w:type="character" w:customStyle="1" w:styleId="23">
    <w:name w:val="批注主题 字符"/>
    <w:basedOn w:val="22"/>
    <w:link w:val="8"/>
    <w:semiHidden/>
    <w:qFormat/>
    <w:uiPriority w:val="99"/>
    <w:rPr>
      <w:rFonts w:ascii="Times New Roman" w:hAnsi="Times New Roman" w:eastAsia="宋体" w:cs="Times New Roman"/>
      <w:b/>
      <w:bCs/>
      <w:sz w:val="21"/>
      <w:szCs w:val="24"/>
      <w:lang w:val="en-US"/>
      <w14:ligatures w14:val="none"/>
    </w:rPr>
  </w:style>
  <w:style w:type="character" w:customStyle="1" w:styleId="24">
    <w:name w:val="批注框文本 字符"/>
    <w:basedOn w:val="11"/>
    <w:link w:val="5"/>
    <w:semiHidden/>
    <w:qFormat/>
    <w:uiPriority w:val="99"/>
    <w:rPr>
      <w:rFonts w:ascii="Times New Roman" w:hAnsi="Times New Roman" w:eastAsia="宋体" w:cs="Times New Roman"/>
      <w:sz w:val="18"/>
      <w:szCs w:val="18"/>
      <w:lang w:val="en-US"/>
      <w14:ligatures w14: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51056F7-9D84-4F79-BAA2-958FFCF3DEF0}">
  <ds:schemaRefs/>
</ds:datastoreItem>
</file>

<file path=docProps/app.xml><?xml version="1.0" encoding="utf-8"?>
<Properties xmlns="http://schemas.openxmlformats.org/officeDocument/2006/extended-properties" xmlns:vt="http://schemas.openxmlformats.org/officeDocument/2006/docPropsVTypes">
  <Template>Normal.dotm</Template>
  <Pages>8</Pages>
  <Words>6480</Words>
  <Characters>6978</Characters>
  <Lines>52</Lines>
  <Paragraphs>14</Paragraphs>
  <TotalTime>0</TotalTime>
  <ScaleCrop>false</ScaleCrop>
  <LinksUpToDate>false</LinksUpToDate>
  <CharactersWithSpaces>7037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2024-03-28T08:11:00Z</dcterms:created>
  <dc:creator>XiaoYan Xu</dc:creator>
  <cp:lastModifiedBy>张华娟</cp:lastModifiedBy>
  <dcterms:modified xsi:type="dcterms:W3CDTF">2025-12-18T02:46:36Z</dcterms:modified>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507802-f8e4-4e38-829c-ac8ea9b241e4_Enabled">
    <vt:lpwstr>true</vt:lpwstr>
  </property>
  <property fmtid="{D5CDD505-2E9C-101B-9397-08002B2CF9AE}" pid="3" name="MSIP_Label_23507802-f8e4-4e38-829c-ac8ea9b241e4_SetDate">
    <vt:lpwstr>2024-01-23T03:22:34Z</vt:lpwstr>
  </property>
  <property fmtid="{D5CDD505-2E9C-101B-9397-08002B2CF9AE}" pid="4" name="MSIP_Label_23507802-f8e4-4e38-829c-ac8ea9b241e4_Method">
    <vt:lpwstr>Privileged</vt:lpwstr>
  </property>
  <property fmtid="{D5CDD505-2E9C-101B-9397-08002B2CF9AE}" pid="5" name="MSIP_Label_23507802-f8e4-4e38-829c-ac8ea9b241e4_Name">
    <vt:lpwstr>Public v2</vt:lpwstr>
  </property>
  <property fmtid="{D5CDD505-2E9C-101B-9397-08002B2CF9AE}" pid="6" name="MSIP_Label_23507802-f8e4-4e38-829c-ac8ea9b241e4_SiteId">
    <vt:lpwstr>6e51e1ad-c54b-4b39-b598-0ffe9ae68fef</vt:lpwstr>
  </property>
  <property fmtid="{D5CDD505-2E9C-101B-9397-08002B2CF9AE}" pid="7" name="MSIP_Label_23507802-f8e4-4e38-829c-ac8ea9b241e4_ActionId">
    <vt:lpwstr>46f9b2cd-193c-41a2-b5a6-0f500a7da98c</vt:lpwstr>
  </property>
  <property fmtid="{D5CDD505-2E9C-101B-9397-08002B2CF9AE}" pid="8" name="MSIP_Label_23507802-f8e4-4e38-829c-ac8ea9b241e4_ContentBits">
    <vt:lpwstr>2</vt:lpwstr>
  </property>
  <property fmtid="{D5CDD505-2E9C-101B-9397-08002B2CF9AE}" pid="9" name="KSOTemplateDocerSaveRecord">
    <vt:lpwstr>eyJoZGlkIjoiM2RjZTMyYzJjNTA4OWEwZTA4YTBlMjcyOTRiYjQzNmYiLCJ1c2VySWQiOiIxNTY4Mzk2MzIyIn0=</vt:lpwstr>
  </property>
  <property fmtid="{D5CDD505-2E9C-101B-9397-08002B2CF9AE}" pid="10" name="KSOProductBuildVer">
    <vt:lpwstr>2052-12.1.0.24034</vt:lpwstr>
  </property>
  <property fmtid="{D5CDD505-2E9C-101B-9397-08002B2CF9AE}" pid="11" name="ICV">
    <vt:lpwstr>DDCFBCC2CEA540EC80FE2ACFAD280BE8_12</vt:lpwstr>
  </property>
</Properties>
</file>