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val="0"/>
          <w:bCs/>
          <w:sz w:val="36"/>
          <w:szCs w:val="36"/>
          <w:u w:val="single"/>
          <w:lang w:val="en-US" w:eastAsia="zh-CN"/>
        </w:rPr>
        <w:t>强光手电筒</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w:t>
      </w:r>
      <w:r>
        <w:rPr>
          <w:rFonts w:hint="eastAsia"/>
          <w:sz w:val="28"/>
          <w:szCs w:val="28"/>
          <w:u w:val="single"/>
          <w:lang w:val="en-US" w:eastAsia="zh-CN"/>
        </w:rPr>
        <w:t>30322005</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二〇二三年四月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cs="宋体"/>
          <w:sz w:val="24"/>
          <w:szCs w:val="24"/>
          <w:u w:val="single"/>
          <w:lang w:val="en-US" w:eastAsia="zh-CN"/>
        </w:rPr>
        <w:t>强光手电筒</w:t>
      </w:r>
      <w:r>
        <w:rPr>
          <w:rFonts w:hint="eastAsia" w:asciiTheme="majorEastAsia" w:hAnsiTheme="majorEastAsia" w:eastAsiaTheme="majorEastAsia"/>
          <w:u w:val="single"/>
          <w:lang w:eastAsia="zh-CN"/>
        </w:rPr>
        <w:t>采购项目（项目编号：FHC-PTCG202</w:t>
      </w:r>
      <w:r>
        <w:rPr>
          <w:rFonts w:hint="eastAsia" w:asciiTheme="majorEastAsia" w:hAnsiTheme="majorEastAsia" w:eastAsiaTheme="majorEastAsia"/>
          <w:u w:val="single"/>
          <w:lang w:val="en-US" w:eastAsia="zh-CN"/>
        </w:rPr>
        <w:t>30322005</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cs="宋体"/>
          <w:sz w:val="24"/>
          <w:szCs w:val="24"/>
          <w:u w:val="single"/>
          <w:lang w:val="en-US" w:eastAsia="zh-CN"/>
        </w:rPr>
        <w:t>强光手电筒</w:t>
      </w:r>
      <w:r>
        <w:rPr>
          <w:rFonts w:hint="eastAsia" w:asciiTheme="majorEastAsia" w:hAnsiTheme="majorEastAsia" w:eastAsiaTheme="majorEastAsia"/>
          <w:bCs/>
          <w:sz w:val="24"/>
          <w:szCs w:val="24"/>
          <w:u w:val="single"/>
          <w:lang w:eastAsia="zh-CN"/>
        </w:rPr>
        <w:t xml:space="preserve">采购 </w:t>
      </w:r>
    </w:p>
    <w:p>
      <w:pPr>
        <w:pStyle w:val="4"/>
        <w:spacing w:line="360" w:lineRule="auto"/>
        <w:ind w:left="720" w:leftChars="218" w:hanging="240" w:hangingChars="100"/>
        <w:rPr>
          <w:rFonts w:hint="default" w:asciiTheme="majorEastAsia" w:hAnsiTheme="majorEastAsia" w:eastAsiaTheme="majorEastAsia"/>
          <w:b w:val="0"/>
          <w:lang w:val="en-US"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说明</w:t>
      </w:r>
      <w:r>
        <w:rPr>
          <w:rFonts w:hint="eastAsia" w:asciiTheme="majorEastAsia" w:hAnsiTheme="majorEastAsia" w:eastAsiaTheme="majorEastAsia"/>
          <w:b w:val="0"/>
          <w:lang w:eastAsia="zh-CN"/>
        </w:rPr>
        <w:t>：强光手电筒、</w:t>
      </w:r>
      <w:r>
        <w:rPr>
          <w:rFonts w:hint="eastAsia" w:asciiTheme="majorEastAsia" w:hAnsiTheme="majorEastAsia" w:eastAsiaTheme="majorEastAsia"/>
          <w:b w:val="0"/>
          <w:lang w:val="en-US" w:eastAsia="zh-CN"/>
        </w:rPr>
        <w:t>40把、WY7110</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12800</w:t>
      </w:r>
      <w:r>
        <w:rPr>
          <w:rFonts w:hint="eastAsia"/>
          <w:sz w:val="24"/>
          <w:szCs w:val="24"/>
          <w:lang w:eastAsia="zh-CN"/>
        </w:rPr>
        <w:t>元</w:t>
      </w:r>
      <w:r>
        <w:rPr>
          <w:rFonts w:hint="eastAsia"/>
          <w:b w:val="0"/>
          <w:bCs/>
          <w:lang w:eastAsia="zh-CN"/>
        </w:rPr>
        <w:t>（不含税价）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月  日至  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4"/>
          <w:rFonts w:hint="eastAsia" w:asciiTheme="majorEastAsia" w:hAnsiTheme="majorEastAsia" w:eastAsiaTheme="majorEastAsia"/>
          <w:sz w:val="24"/>
          <w:szCs w:val="24"/>
          <w:lang w:val="en-US" w:eastAsia="zh-CN"/>
        </w:rPr>
        <w:t>zyhe</w:t>
      </w:r>
      <w:r>
        <w:rPr>
          <w:rStyle w:val="34"/>
          <w:rFonts w:hint="eastAsia" w:asciiTheme="majorEastAsia" w:hAnsiTheme="majorEastAsia" w:eastAsiaTheme="majorEastAsia"/>
          <w:sz w:val="24"/>
          <w:szCs w:val="24"/>
          <w:lang w:eastAsia="zh-CN"/>
        </w:rPr>
        <w:t>@f</w:t>
      </w:r>
      <w:r>
        <w:rPr>
          <w:rStyle w:val="34"/>
          <w:rFonts w:hint="eastAsia" w:asciiTheme="majorEastAsia" w:hAnsiTheme="majorEastAsia" w:eastAsiaTheme="majorEastAsia"/>
          <w:sz w:val="24"/>
          <w:szCs w:val="24"/>
          <w:lang w:val="en-US" w:eastAsia="zh-CN"/>
        </w:rPr>
        <w:t>j</w:t>
      </w:r>
      <w:r>
        <w:rPr>
          <w:rStyle w:val="34"/>
          <w:rFonts w:hint="eastAsia" w:asciiTheme="majorEastAsia" w:hAnsiTheme="majorEastAsia" w:eastAsiaTheme="majorEastAsia"/>
          <w:sz w:val="24"/>
          <w:szCs w:val="24"/>
          <w:lang w:eastAsia="zh-CN"/>
        </w:rPr>
        <w:t>pec.com.cn</w:t>
      </w:r>
      <w:r>
        <w:rPr>
          <w:rStyle w:val="34"/>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15</w:t>
      </w:r>
      <w:bookmarkStart w:id="9" w:name="_GoBack"/>
      <w:bookmarkEnd w:id="9"/>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pStyle w:val="10"/>
        <w:spacing w:line="360" w:lineRule="auto"/>
        <w:ind w:left="440" w:right="121"/>
        <w:jc w:val="both"/>
        <w:rPr>
          <w:rFonts w:hint="eastAsia"/>
          <w:b/>
          <w:w w:val="95"/>
          <w:sz w:val="28"/>
          <w:lang w:eastAsia="zh-CN"/>
        </w:rPr>
      </w:pP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sz w:val="24"/>
          <w:szCs w:val="24"/>
          <w:lang w:eastAsia="zh-CN"/>
        </w:rPr>
        <w:t>参选保证金</w:t>
      </w:r>
    </w:p>
    <w:p>
      <w:pPr>
        <w:pStyle w:val="10"/>
        <w:spacing w:line="360" w:lineRule="auto"/>
        <w:ind w:left="440" w:right="121"/>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b/>
          <w:bCs/>
          <w:snapToGrid w:val="0"/>
          <w:color w:val="000000" w:themeColor="text1"/>
          <w:spacing w:val="8"/>
          <w:sz w:val="24"/>
          <w:szCs w:val="24"/>
          <w:lang w:eastAsia="zh-CN"/>
          <w14:textFill>
            <w14:solidFill>
              <w14:schemeClr w14:val="tx1"/>
            </w14:solidFill>
          </w14:textFill>
        </w:rPr>
      </w:pPr>
      <w:r>
        <w:rPr>
          <w:rFonts w:hint="eastAsia"/>
          <w:b/>
          <w:bCs/>
          <w:snapToGrid w:val="0"/>
          <w:color w:val="000000" w:themeColor="text1"/>
          <w:spacing w:val="8"/>
          <w:sz w:val="24"/>
          <w:szCs w:val="24"/>
          <w:lang w:eastAsia="zh-CN"/>
          <w14:textFill>
            <w14:solidFill>
              <w14:schemeClr w14:val="tx1"/>
            </w14:solidFill>
          </w14:textFill>
        </w:rPr>
        <w:t>六、合同付款方式</w:t>
      </w:r>
    </w:p>
    <w:p>
      <w:pPr>
        <w:autoSpaceDE/>
        <w:autoSpaceDN/>
        <w:spacing w:line="360" w:lineRule="auto"/>
        <w:ind w:firstLine="470" w:firstLineChars="196"/>
        <w:jc w:val="both"/>
        <w:rPr>
          <w:rFonts w:hint="eastAsia" w:ascii="宋体" w:hAnsi="宋体"/>
          <w:sz w:val="24"/>
          <w:szCs w:val="22"/>
          <w:lang w:eastAsia="zh-CN"/>
        </w:rPr>
      </w:pP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商务联系人：何震洋  电话：15259232765  邮箱：zyhe@fjpec.com.cn</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7</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cs="宋体"/>
          <w:sz w:val="24"/>
          <w:szCs w:val="24"/>
          <w:u w:val="single"/>
          <w:lang w:val="en-US" w:eastAsia="zh-CN"/>
        </w:rPr>
        <w:t>强光手电筒</w:t>
      </w:r>
      <w:r>
        <w:rPr>
          <w:rFonts w:hint="eastAsia" w:asciiTheme="majorEastAsia" w:hAnsiTheme="majorEastAsia" w:eastAsiaTheme="majorEastAsia"/>
          <w:bCs/>
          <w:sz w:val="24"/>
          <w:szCs w:val="24"/>
          <w:u w:val="single"/>
          <w:lang w:eastAsia="zh-CN"/>
        </w:rPr>
        <w:t>采购</w:t>
      </w:r>
      <w:r>
        <w:rPr>
          <w:rFonts w:hint="eastAsia" w:asciiTheme="majorEastAsia" w:hAnsiTheme="majorEastAsia" w:eastAsiaTheme="majorEastAsia"/>
          <w:u w:val="single"/>
          <w:lang w:eastAsia="zh-CN"/>
        </w:rPr>
        <w:t xml:space="preserve"> </w:t>
      </w:r>
    </w:p>
    <w:p>
      <w:pPr>
        <w:pStyle w:val="10"/>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40把</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cs="宋体"/>
          <w:sz w:val="24"/>
          <w:szCs w:val="24"/>
          <w:u w:val="single"/>
          <w:lang w:val="en-US" w:eastAsia="zh-CN"/>
        </w:rPr>
        <w:t>强光手电筒（40把）</w:t>
      </w:r>
    </w:p>
    <w:p>
      <w:pPr>
        <w:spacing w:line="360" w:lineRule="auto"/>
        <w:ind w:left="720" w:leftChars="218" w:hanging="240"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lang w:val="en-US" w:eastAsia="zh-CN"/>
        </w:rPr>
        <w:t>运行倒班人员日常巡视用。</w:t>
      </w:r>
    </w:p>
    <w:p>
      <w:pPr>
        <w:spacing w:line="360" w:lineRule="auto"/>
        <w:ind w:firstLine="480" w:firstLineChars="200"/>
        <w:rPr>
          <w:rFonts w:hint="eastAsia" w:asciiTheme="majorEastAsia" w:hAnsiTheme="majorEastAsia" w:eastAsiaTheme="majorEastAsia" w:cstheme="minorEastAsia"/>
          <w:kern w:val="59"/>
          <w:sz w:val="24"/>
          <w:szCs w:val="24"/>
          <w:lang w:val="en-US"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z w:val="24"/>
          <w:szCs w:val="24"/>
          <w:lang w:val="en-US" w:eastAsia="zh-CN"/>
        </w:rPr>
        <w:t>本</w:t>
      </w:r>
      <w:r>
        <w:rPr>
          <w:rFonts w:hint="eastAsia" w:asciiTheme="majorEastAsia" w:hAnsiTheme="majorEastAsia" w:eastAsiaTheme="majorEastAsia"/>
          <w:sz w:val="24"/>
          <w:szCs w:val="24"/>
          <w:lang w:eastAsia="zh-CN"/>
        </w:rPr>
        <w:t>仪器须符合</w:t>
      </w:r>
      <w:r>
        <w:rPr>
          <w:rFonts w:hint="eastAsia" w:asciiTheme="majorEastAsia" w:hAnsiTheme="majorEastAsia" w:eastAsiaTheme="majorEastAsia" w:cstheme="minorEastAsia"/>
          <w:kern w:val="59"/>
          <w:sz w:val="24"/>
          <w:szCs w:val="24"/>
          <w:lang w:val="en-US" w:eastAsia="zh-CN"/>
        </w:rPr>
        <w:t>国家验收标准。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asciiTheme="majorEastAsia" w:hAnsiTheme="majorEastAsia" w:eastAsiaTheme="majorEastAsia"/>
          <w:b w:val="0"/>
          <w:bCs w:val="0"/>
          <w:spacing w:val="-57"/>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漳州市漳浦县杜浔镇杜昌路9号3楼设备及服务团队</w:t>
      </w:r>
    </w:p>
    <w:p>
      <w:pPr>
        <w:pStyle w:val="4"/>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范克钦</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13950819470</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1"/>
          <w:szCs w:val="21"/>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12800</w:t>
      </w:r>
      <w:r>
        <w:rPr>
          <w:rFonts w:hint="eastAsia" w:asciiTheme="majorEastAsia" w:hAnsiTheme="majorEastAsia" w:eastAsiaTheme="majorEastAsia"/>
          <w:b/>
          <w:bCs/>
          <w:sz w:val="24"/>
          <w:szCs w:val="24"/>
          <w:lang w:eastAsia="zh-CN"/>
        </w:rPr>
        <w:t>元</w:t>
      </w:r>
      <w:r>
        <w:rPr>
          <w:rFonts w:hint="eastAsia"/>
          <w:b/>
          <w:lang w:eastAsia="zh-CN"/>
        </w:rPr>
        <w:t>（</w:t>
      </w:r>
      <w:r>
        <w:rPr>
          <w:rFonts w:hint="eastAsia"/>
          <w:b/>
          <w:lang w:val="en-US" w:eastAsia="zh-CN"/>
        </w:rPr>
        <w:t>不</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rPr>
          <w:lang w:eastAsia="zh-CN"/>
        </w:rPr>
      </w:pPr>
    </w:p>
    <w:p>
      <w:pPr>
        <w:pStyle w:val="2"/>
        <w:rPr>
          <w:lang w:eastAsia="zh-CN"/>
        </w:rPr>
      </w:pP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leftChars="54" w:right="222" w:firstLine="480" w:firstLineChars="200"/>
        <w:rPr>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15567504"/>
      <w:bookmarkStart w:id="2" w:name="_Toc430489126"/>
      <w:bookmarkStart w:id="3" w:name="_Toc430488858"/>
      <w:bookmarkStart w:id="4" w:name="_Toc177186249"/>
      <w:bookmarkStart w:id="5" w:name="_Toc304357904"/>
      <w:bookmarkStart w:id="6" w:name="_Toc430492133"/>
      <w:bookmarkStart w:id="7" w:name="_Toc430488651"/>
      <w:bookmarkStart w:id="8" w:name="_Toc430490619"/>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12800</w:t>
      </w:r>
      <w:r>
        <w:rPr>
          <w:rFonts w:hint="eastAsia"/>
          <w:b/>
          <w:lang w:eastAsia="zh-CN"/>
        </w:rPr>
        <w:t>元（</w:t>
      </w:r>
      <w:r>
        <w:rPr>
          <w:rFonts w:hint="eastAsia"/>
          <w:b/>
          <w:lang w:val="en-US" w:eastAsia="zh-CN"/>
        </w:rPr>
        <w:t>不</w:t>
      </w:r>
      <w:r>
        <w:rPr>
          <w:rFonts w:hint="eastAsia"/>
          <w:b/>
          <w:lang w:eastAsia="zh-CN"/>
        </w:rPr>
        <w:t>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8"/>
          <w:rFonts w:hint="eastAsia"/>
          <w:sz w:val="24"/>
          <w:szCs w:val="24"/>
        </w:rPr>
        <w:t>福建福海创石油化工有限公司的权属子公司“</w:t>
      </w:r>
      <w:r>
        <w:rPr>
          <w:rStyle w:val="28"/>
          <w:rFonts w:hint="eastAsia"/>
          <w:sz w:val="24"/>
          <w:szCs w:val="24"/>
          <w:lang w:val="en-US" w:eastAsia="zh-CN"/>
        </w:rPr>
        <w:t>腾龙芳烃</w:t>
      </w:r>
      <w:r>
        <w:rPr>
          <w:rStyle w:val="28"/>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b/>
          <w:bCs/>
          <w:spacing w:val="-2"/>
          <w:u w:val="single"/>
          <w:lang w:val="en-US" w:eastAsia="zh-CN"/>
        </w:rPr>
        <w:t>强光手电筒</w:t>
      </w:r>
      <w:r>
        <w:rPr>
          <w:rFonts w:hint="eastAsia" w:asciiTheme="majorEastAsia" w:hAnsiTheme="majorEastAsia" w:eastAsiaTheme="majorEastAsia"/>
          <w:b/>
          <w:bCs/>
          <w:kern w:val="59"/>
          <w:u w:val="single"/>
          <w:lang w:eastAsia="zh-CN"/>
        </w:rPr>
        <w:t>采购</w:t>
      </w:r>
      <w:r>
        <w:rPr>
          <w:b/>
          <w:bCs/>
          <w:spacing w:val="-2"/>
          <w:lang w:eastAsia="zh-CN"/>
        </w:rPr>
        <w:t>合同</w:t>
      </w:r>
      <w:r>
        <w:rPr>
          <w:b/>
          <w:bCs/>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lang w:eastAsia="zh-CN"/>
        </w:rPr>
      </w:pPr>
      <w:r>
        <w:rPr>
          <w:rFonts w:hint="eastAsia"/>
          <w:b/>
          <w:sz w:val="28"/>
          <w:szCs w:val="28"/>
          <w:lang w:val="en-US" w:eastAsia="zh-CN"/>
        </w:rPr>
        <w:t>强光手电筒</w:t>
      </w:r>
      <w:r>
        <w:rPr>
          <w:rFonts w:hint="eastAsia"/>
          <w:b/>
          <w:sz w:val="28"/>
          <w:szCs w:val="28"/>
          <w:lang w:eastAsia="zh-CN"/>
        </w:rPr>
        <w:t>采购合同</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lang w:eastAsia="zh-CN"/>
              </w:rPr>
            </w:pPr>
            <w:r>
              <w:rPr>
                <w:rFonts w:hint="eastAsia"/>
                <w:sz w:val="24"/>
                <w:lang w:eastAsia="zh-CN"/>
              </w:rPr>
              <w:t xml:space="preserve">                                                                                      </w:t>
            </w:r>
          </w:p>
        </w:tc>
        <w:tc>
          <w:tcPr>
            <w:tcW w:w="3920" w:type="dxa"/>
          </w:tcPr>
          <w:p>
            <w:pPr>
              <w:spacing w:line="120" w:lineRule="auto"/>
              <w:jc w:val="both"/>
              <w:rPr>
                <w:sz w:val="24"/>
                <w:lang w:eastAsia="zh-CN"/>
              </w:rPr>
            </w:pPr>
          </w:p>
        </w:tc>
        <w:tc>
          <w:tcPr>
            <w:tcW w:w="1325" w:type="dxa"/>
          </w:tcPr>
          <w:p>
            <w:pPr>
              <w:spacing w:line="120" w:lineRule="auto"/>
              <w:jc w:val="both"/>
              <w:rPr>
                <w:sz w:val="24"/>
              </w:rPr>
            </w:pPr>
            <w:r>
              <w:rPr>
                <w:rFonts w:hint="eastAsia"/>
                <w:sz w:val="24"/>
              </w:rPr>
              <w:t>合同编号：</w:t>
            </w:r>
          </w:p>
        </w:tc>
        <w:tc>
          <w:tcPr>
            <w:tcW w:w="3286"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lang w:eastAsia="zh-CN"/>
              </w:rPr>
            </w:pPr>
            <w:r>
              <w:rPr>
                <w:rFonts w:hint="eastAsia" w:cs="Times New Roman"/>
                <w:sz w:val="24"/>
                <w:lang w:val="en-US" w:eastAsia="zh-CN"/>
              </w:rPr>
              <w:t>腾龙芳烃</w:t>
            </w:r>
            <w:r>
              <w:rPr>
                <w:rFonts w:hint="eastAsia" w:ascii="Times New Roman" w:hAnsi="Times New Roman" w:cs="Times New Roman"/>
                <w:sz w:val="24"/>
                <w:lang w:eastAsia="zh-CN"/>
              </w:rPr>
              <w:t xml:space="preserve">（漳州）有限公司    </w:t>
            </w:r>
            <w:r>
              <w:rPr>
                <w:rFonts w:hint="eastAsia"/>
                <w:sz w:val="24"/>
                <w:lang w:eastAsia="zh-CN"/>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sz w:val="24"/>
                <w:lang w:eastAsia="zh-CN"/>
              </w:rPr>
            </w:pPr>
            <w:r>
              <w:rPr>
                <w:rFonts w:hint="eastAsia"/>
                <w:sz w:val="24"/>
                <w:lang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sz w:val="24"/>
                <w:lang w:eastAsia="zh-CN"/>
              </w:rPr>
            </w:pPr>
            <w:r>
              <w:rPr>
                <w:rFonts w:hint="eastAsia"/>
                <w:sz w:val="24"/>
                <w:lang w:eastAsia="zh-CN"/>
              </w:rPr>
              <w:t>2023年_____ 月____日</w:t>
            </w: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sz w:val="24"/>
        </w:rPr>
      </w:pPr>
      <w:r>
        <w:rPr>
          <w:rFonts w:hint="eastAsia"/>
          <w:sz w:val="24"/>
        </w:rPr>
        <w:t>合同标的和合同价格</w:t>
      </w:r>
    </w:p>
    <w:tbl>
      <w:tblPr>
        <w:tblStyle w:val="25"/>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1150"/>
        <w:gridCol w:w="1050"/>
        <w:gridCol w:w="825"/>
        <w:gridCol w:w="1313"/>
        <w:gridCol w:w="1000"/>
        <w:gridCol w:w="114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存货名称</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eastAsia="zh-CN" w:bidi="ar"/>
              </w:rPr>
              <w:t>规格型号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rPr>
            </w:pPr>
            <w:r>
              <w:rPr>
                <w:rFonts w:hint="eastAsia"/>
                <w:color w:val="000000"/>
                <w:sz w:val="18"/>
                <w:szCs w:val="18"/>
                <w:lang w:bidi="ar"/>
              </w:rPr>
              <w:t>数量</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rPr>
            </w:pPr>
            <w:r>
              <w:rPr>
                <w:rFonts w:hint="eastAsia"/>
                <w:color w:val="00000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bidi="ar"/>
              </w:rPr>
            </w:pPr>
            <w:r>
              <w:rPr>
                <w:rFonts w:hint="eastAsia"/>
                <w:color w:val="000000"/>
                <w:sz w:val="18"/>
                <w:szCs w:val="18"/>
                <w:lang w:bidi="ar"/>
              </w:rPr>
              <w:t>含税</w:t>
            </w:r>
            <w:r>
              <w:rPr>
                <w:rFonts w:hint="eastAsia"/>
                <w:color w:val="000000"/>
                <w:sz w:val="18"/>
                <w:szCs w:val="18"/>
                <w:lang w:eastAsia="zh-CN" w:bidi="ar"/>
              </w:rPr>
              <w:t>小计</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18"/>
                <w:szCs w:val="18"/>
                <w:lang w:eastAsia="zh-CN" w:bidi="ar"/>
              </w:rPr>
            </w:pPr>
            <w:r>
              <w:rPr>
                <w:rFonts w:hint="eastAsia"/>
                <w:color w:val="000000"/>
                <w:sz w:val="18"/>
                <w:szCs w:val="18"/>
                <w:lang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val="en-US" w:eastAsia="zh-CN" w:bidi="ar"/>
              </w:rPr>
              <w:t>强光手电筒</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color w:val="000000"/>
                <w:sz w:val="18"/>
                <w:szCs w:val="18"/>
                <w:lang w:val="en-US" w:eastAsia="zh-CN" w:bidi="ar"/>
              </w:rPr>
              <w:t>WY7110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把</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rFonts w:hint="default"/>
                <w:color w:val="000000"/>
                <w:sz w:val="18"/>
                <w:szCs w:val="18"/>
                <w:lang w:val="en-US" w:eastAsia="zh-CN" w:bidi="ar"/>
              </w:rPr>
            </w:pPr>
            <w:r>
              <w:rPr>
                <w:rFonts w:hint="eastAsia"/>
                <w:color w:val="000000"/>
                <w:sz w:val="18"/>
                <w:szCs w:val="18"/>
                <w:lang w:val="en-US" w:eastAsia="zh-CN" w:bidi="ar"/>
              </w:rPr>
              <w:t>40</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color w:val="000000"/>
                <w:sz w:val="18"/>
                <w:szCs w:val="18"/>
                <w:lang w:eastAsia="zh-CN" w:bidi="ar"/>
              </w:rPr>
              <w:br w:type="textWrapping"/>
            </w:r>
            <w:r>
              <w:rPr>
                <w:sz w:val="24"/>
                <w:szCs w:val="24"/>
              </w:rPr>
              <w:br w:type="textWrapping"/>
            </w:r>
          </w:p>
        </w:tc>
      </w:tr>
      <w:tr>
        <w:tblPrEx>
          <w:tblCellMar>
            <w:top w:w="15" w:type="dxa"/>
            <w:left w:w="15" w:type="dxa"/>
            <w:bottom w:w="15" w:type="dxa"/>
            <w:right w:w="15" w:type="dxa"/>
          </w:tblCellMar>
        </w:tblPrEx>
        <w:trPr>
          <w:trHeight w:val="699" w:hRule="atLeast"/>
        </w:trPr>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color w:val="000000"/>
                <w:sz w:val="18"/>
                <w:szCs w:val="18"/>
                <w:lang w:eastAsia="zh-CN" w:bidi="ar"/>
              </w:rPr>
            </w:pPr>
            <w:r>
              <w:rPr>
                <w:rFonts w:hint="eastAsia"/>
                <w:b/>
                <w:color w:val="000000"/>
                <w:szCs w:val="21"/>
                <w:lang w:eastAsia="zh-CN"/>
              </w:rPr>
              <w:t>含税总计 大写（小写）</w:t>
            </w:r>
          </w:p>
        </w:tc>
        <w:tc>
          <w:tcPr>
            <w:tcW w:w="532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top"/>
              <w:rPr>
                <w:b/>
                <w:color w:val="000000"/>
                <w:szCs w:val="21"/>
                <w:lang w:eastAsia="zh-CN"/>
              </w:rPr>
            </w:pPr>
            <w:r>
              <w:rPr>
                <w:rFonts w:hint="eastAsia"/>
                <w:b/>
                <w:color w:val="000000"/>
                <w:szCs w:val="21"/>
                <w:lang w:eastAsia="zh-CN"/>
              </w:rPr>
              <w:t>元整（0.00元）</w:t>
            </w:r>
          </w:p>
        </w:tc>
      </w:tr>
    </w:tbl>
    <w:p>
      <w:pPr>
        <w:spacing w:line="120" w:lineRule="auto"/>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2.2交货地点：运送到</w:t>
      </w:r>
      <w:r>
        <w:rPr>
          <w:sz w:val="24"/>
          <w:u w:val="single"/>
          <w:lang w:eastAsia="zh-CN"/>
        </w:rPr>
        <w:t xml:space="preserve">  </w:t>
      </w:r>
      <w:r>
        <w:rPr>
          <w:rFonts w:hint="eastAsia"/>
          <w:sz w:val="24"/>
          <w:u w:val="single"/>
          <w:lang w:val="en-US" w:eastAsia="zh-CN"/>
        </w:rPr>
        <w:t>福建省漳州市漳浦县古雷开发区腾龙路84号（福建福海创石油化工有限公司PX工厂）；收货单位：福建福海创石油化工有限公司(腾龙芳烃）：赵靖辉，13105041956  （厂内）</w:t>
      </w:r>
      <w:r>
        <w:rPr>
          <w:rFonts w:hint="eastAsia"/>
          <w:sz w:val="24"/>
          <w:u w:val="single"/>
          <w:lang w:eastAsia="zh-CN"/>
        </w:rPr>
        <w:t xml:space="preserve">  。</w:t>
      </w:r>
    </w:p>
    <w:p>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ascii="Times New Roman" w:hAnsi="Times New Roman" w:cs="Times New Roman"/>
          <w:sz w:val="24"/>
          <w:u w:val="single"/>
          <w:lang w:eastAsia="zh-CN"/>
        </w:rPr>
        <w:t>乙方应在合同签订生效后 3</w:t>
      </w:r>
      <w:r>
        <w:rPr>
          <w:rFonts w:hint="eastAsia" w:cs="Times New Roman"/>
          <w:sz w:val="24"/>
          <w:u w:val="single"/>
          <w:lang w:eastAsia="zh-CN"/>
        </w:rPr>
        <w:t>0</w:t>
      </w:r>
      <w:r>
        <w:rPr>
          <w:rFonts w:hint="eastAsia" w:ascii="Times New Roman" w:hAnsi="Times New Roman" w:cs="Times New Roman"/>
          <w:sz w:val="24"/>
          <w:u w:val="single"/>
          <w:lang w:eastAsia="zh-CN"/>
        </w:rPr>
        <w:t>日内将合同全部货物交付至甲方。厂外对接送货及发票接收联系人：</w:t>
      </w:r>
      <w:r>
        <w:rPr>
          <w:rFonts w:hint="eastAsia" w:cs="Times New Roman"/>
          <w:sz w:val="24"/>
          <w:u w:val="single"/>
          <w:lang w:eastAsia="zh-CN"/>
        </w:rPr>
        <w:t>何震洋 15259232765</w:t>
      </w:r>
      <w:r>
        <w:rPr>
          <w:rFonts w:hint="eastAsia" w:ascii="Times New Roman" w:hAnsi="Times New Roman" w:cs="Times New Roman"/>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依据本合同约定的质量、数量标准验收合格后，甲方</w:t>
      </w:r>
      <w:r>
        <w:rPr>
          <w:rFonts w:hint="eastAsia" w:ascii="宋体" w:hAnsi="宋体"/>
          <w:sz w:val="24"/>
          <w:szCs w:val="22"/>
          <w:lang w:val="en-US" w:eastAsia="zh-CN"/>
        </w:rPr>
        <w:t>30日</w:t>
      </w:r>
      <w:r>
        <w:rPr>
          <w:rFonts w:hint="eastAsia" w:ascii="宋体" w:hAnsi="宋体"/>
          <w:sz w:val="24"/>
          <w:szCs w:val="22"/>
          <w:lang w:eastAsia="zh-CN"/>
        </w:rPr>
        <w:t>向乙方支付合同价款总额的【</w:t>
      </w:r>
      <w:r>
        <w:rPr>
          <w:rFonts w:hint="eastAsia" w:ascii="宋体" w:hAnsi="宋体"/>
          <w:sz w:val="24"/>
          <w:szCs w:val="22"/>
          <w:lang w:val="en-US" w:eastAsia="zh-CN"/>
        </w:rPr>
        <w:t>90</w:t>
      </w:r>
      <w:r>
        <w:rPr>
          <w:rFonts w:hint="eastAsia" w:ascii="宋体" w:hAnsi="宋体"/>
          <w:sz w:val="24"/>
          <w:szCs w:val="22"/>
          <w:lang w:eastAsia="zh-CN"/>
        </w:rPr>
        <w:t>】%，剩余合同价款总额的【</w:t>
      </w:r>
      <w:r>
        <w:rPr>
          <w:rFonts w:hint="eastAsia" w:ascii="宋体" w:hAnsi="宋体"/>
          <w:sz w:val="24"/>
          <w:szCs w:val="22"/>
          <w:lang w:val="en-US" w:eastAsia="zh-CN"/>
        </w:rPr>
        <w:t>10</w:t>
      </w:r>
      <w:r>
        <w:rPr>
          <w:rFonts w:hint="eastAsia" w:ascii="宋体" w:hAnsi="宋体"/>
          <w:sz w:val="24"/>
          <w:szCs w:val="22"/>
          <w:lang w:eastAsia="zh-CN"/>
        </w:rPr>
        <w:t>】%作为质量保证金，待质量保证期满且乙方无结欠甲方款项或债务的情况下无息退还。</w:t>
      </w:r>
    </w:p>
    <w:p>
      <w:pPr>
        <w:spacing w:line="360" w:lineRule="auto"/>
        <w:ind w:firstLine="480" w:firstLineChars="200"/>
        <w:rPr>
          <w:szCs w:val="21"/>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10</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rFonts w:hint="eastAsia" w:ascii="Times New Roman" w:hAnsi="Times New Roman" w:cs="Times New Roman"/>
          <w:sz w:val="24"/>
          <w:lang w:eastAsia="zh-CN"/>
        </w:rPr>
        <w:t>增值税专用发票发</w:t>
      </w:r>
      <w:r>
        <w:rPr>
          <w:rFonts w:hint="eastAsia"/>
          <w:sz w:val="24"/>
          <w:lang w:eastAsia="zh-CN"/>
        </w:rPr>
        <w:t>票（税率</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r>
        <w:rPr>
          <w:rFonts w:hint="eastAsia"/>
          <w:sz w:val="24"/>
          <w:lang w:eastAsia="zh-CN"/>
        </w:rPr>
        <w:t>%）。</w:t>
      </w: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rPr>
          <w:sz w:val="24"/>
          <w:lang w:eastAsia="zh-CN"/>
        </w:rPr>
      </w:pPr>
      <w:r>
        <w:rPr>
          <w:rFonts w:hint="eastAsia"/>
          <w:sz w:val="24"/>
          <w:lang w:eastAsia="zh-CN"/>
        </w:rPr>
        <w:t>4、质量要求和技术标准</w:t>
      </w:r>
    </w:p>
    <w:p>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12个月。  </w:t>
      </w:r>
    </w:p>
    <w:p>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sz w:val="24"/>
          <w:lang w:eastAsia="zh-CN"/>
        </w:rPr>
      </w:pPr>
      <w:r>
        <w:rPr>
          <w:rFonts w:hint="eastAsia"/>
          <w:sz w:val="24"/>
          <w:lang w:eastAsia="zh-CN"/>
        </w:rPr>
        <w:t>本合同一式四份，经双方签订后生效，甲方执三份、乙方执一份，具有同等效力。</w:t>
      </w:r>
    </w:p>
    <w:p>
      <w:pPr>
        <w:pStyle w:val="24"/>
        <w:autoSpaceDE/>
        <w:autoSpaceDN/>
        <w:ind w:left="0" w:leftChars="0" w:firstLine="0" w:firstLineChars="0"/>
        <w:jc w:val="both"/>
        <w:rPr>
          <w:lang w:eastAsia="zh-CN"/>
        </w:rPr>
      </w:pPr>
    </w:p>
    <w:p>
      <w:pPr>
        <w:rPr>
          <w:lang w:eastAsia="zh-CN"/>
        </w:rPr>
      </w:pPr>
    </w:p>
    <w:p>
      <w:pPr>
        <w:rPr>
          <w:lang w:eastAsia="zh-CN"/>
        </w:rPr>
      </w:pPr>
    </w:p>
    <w:p>
      <w:pPr>
        <w:pStyle w:val="24"/>
        <w:ind w:left="440" w:firstLine="440"/>
        <w:rPr>
          <w:lang w:eastAsia="zh-CN"/>
        </w:rPr>
      </w:pPr>
    </w:p>
    <w:tbl>
      <w:tblPr>
        <w:tblStyle w:val="2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甲方：</w:t>
            </w:r>
            <w:r>
              <w:rPr>
                <w:rFonts w:hint="eastAsia"/>
                <w:sz w:val="24"/>
                <w:lang w:eastAsia="zh-CN"/>
              </w:rPr>
              <w:t>腾龙芳烃（漳州）有限公司</w:t>
            </w:r>
          </w:p>
        </w:tc>
        <w:tc>
          <w:tcPr>
            <w:tcW w:w="4821" w:type="dxa"/>
            <w:vAlign w:val="center"/>
          </w:tcPr>
          <w:p>
            <w:pPr>
              <w:spacing w:line="360" w:lineRule="auto"/>
              <w:jc w:val="both"/>
              <w:rPr>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rPr>
              <w:t xml:space="preserve">联系地址：福建省漳州市漳州古雷经济开发区腾龙路84号 </w:t>
            </w:r>
          </w:p>
        </w:tc>
        <w:tc>
          <w:tcPr>
            <w:tcW w:w="4821" w:type="dxa"/>
            <w:vAlign w:val="center"/>
          </w:tcPr>
          <w:p>
            <w:pPr>
              <w:spacing w:line="360" w:lineRule="auto"/>
              <w:jc w:val="both"/>
              <w:rPr>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电话：0596-6311083</w:t>
            </w:r>
          </w:p>
        </w:tc>
        <w:tc>
          <w:tcPr>
            <w:tcW w:w="4821" w:type="dxa"/>
            <w:vAlign w:val="center"/>
          </w:tcPr>
          <w:p>
            <w:pPr>
              <w:spacing w:line="360" w:lineRule="auto"/>
              <w:jc w:val="both"/>
              <w:rPr>
                <w:sz w:val="24"/>
                <w:lang w:eastAsia="zh-CN"/>
              </w:rPr>
            </w:pPr>
            <w:r>
              <w:rPr>
                <w:rFonts w:hint="eastAsia"/>
                <w:sz w:val="24"/>
                <w:lang w:eastAsia="zh-CN"/>
              </w:rPr>
              <w:t>电话：</w:t>
            </w:r>
            <w:r>
              <w:rPr>
                <w:rFonts w:hint="eastAsia"/>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lang w:eastAsia="zh-CN"/>
              </w:rPr>
            </w:pPr>
            <w:r>
              <w:rPr>
                <w:rFonts w:hint="eastAsia"/>
                <w:sz w:val="24"/>
                <w:lang w:eastAsia="zh-CN"/>
              </w:rPr>
              <w:t>开户银行：兴业银行漳州古雷支行</w:t>
            </w:r>
          </w:p>
        </w:tc>
        <w:tc>
          <w:tcPr>
            <w:tcW w:w="4821" w:type="dxa"/>
            <w:vAlign w:val="center"/>
          </w:tcPr>
          <w:p>
            <w:pPr>
              <w:spacing w:line="360" w:lineRule="auto"/>
              <w:jc w:val="both"/>
              <w:rPr>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账号：162070100100021071</w:t>
            </w:r>
          </w:p>
        </w:tc>
        <w:tc>
          <w:tcPr>
            <w:tcW w:w="4821" w:type="dxa"/>
            <w:vAlign w:val="center"/>
          </w:tcPr>
          <w:p>
            <w:pPr>
              <w:spacing w:line="360" w:lineRule="auto"/>
              <w:jc w:val="both"/>
              <w:rPr>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lang w:eastAsia="zh-CN"/>
              </w:rPr>
            </w:pPr>
            <w:r>
              <w:rPr>
                <w:rFonts w:hint="default" w:ascii="Times New Roman" w:hAnsi="Times New Roman" w:eastAsia="宋体" w:cs="Times New Roman"/>
                <w:sz w:val="24"/>
                <w:szCs w:val="24"/>
                <w:lang w:eastAsia="zh-CN"/>
              </w:rPr>
              <w:t>税号：91350600717866709A</w:t>
            </w:r>
          </w:p>
        </w:tc>
        <w:tc>
          <w:tcPr>
            <w:tcW w:w="4821" w:type="dxa"/>
            <w:vAlign w:val="center"/>
          </w:tcPr>
          <w:p>
            <w:pPr>
              <w:spacing w:line="360" w:lineRule="auto"/>
              <w:jc w:val="both"/>
              <w:rPr>
                <w:sz w:val="24"/>
                <w:lang w:eastAsia="zh-CN"/>
              </w:rPr>
            </w:pPr>
            <w:r>
              <w:rPr>
                <w:rFonts w:hint="eastAsia"/>
                <w:sz w:val="24"/>
                <w:lang w:eastAsia="zh-CN"/>
              </w:rPr>
              <w:t>税号：</w:t>
            </w:r>
            <w:r>
              <w:rPr>
                <w:rFonts w:hint="eastAsia"/>
                <w:b/>
                <w:bCs/>
                <w:color w:val="000000"/>
                <w:szCs w:val="21"/>
              </w:rPr>
              <w:t xml:space="preserve"> </w:t>
            </w:r>
          </w:p>
        </w:tc>
      </w:tr>
    </w:tbl>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强光手电筒采购项目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4</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强光手电筒</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强光手电筒</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b/>
          <w:bCs/>
          <w:sz w:val="24"/>
          <w:szCs w:val="24"/>
          <w:u w:val="single"/>
          <w:lang w:val="en-US" w:eastAsia="zh-CN"/>
        </w:rPr>
        <w:t>强光手电筒</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/台，数量40把，共计人民币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5"/>
        <w:tblpPr w:leftFromText="180" w:rightFromText="180" w:vertAnchor="text" w:horzAnchor="margin" w:tblpXSpec="center" w:tblpY="377"/>
        <w:tblW w:w="10018" w:type="dxa"/>
        <w:tblInd w:w="0" w:type="dxa"/>
        <w:tblLayout w:type="fixed"/>
        <w:tblCellMar>
          <w:top w:w="0" w:type="dxa"/>
          <w:left w:w="108" w:type="dxa"/>
          <w:bottom w:w="0" w:type="dxa"/>
          <w:right w:w="108" w:type="dxa"/>
        </w:tblCellMar>
      </w:tblPr>
      <w:tblGrid>
        <w:gridCol w:w="426"/>
        <w:gridCol w:w="1927"/>
        <w:gridCol w:w="2433"/>
        <w:gridCol w:w="852"/>
        <w:gridCol w:w="990"/>
        <w:gridCol w:w="1230"/>
        <w:gridCol w:w="2160"/>
      </w:tblGrid>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序号</w:t>
            </w:r>
          </w:p>
        </w:tc>
        <w:tc>
          <w:tcPr>
            <w:tcW w:w="1927"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243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型号规格</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数量</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单价</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合计</w:t>
            </w:r>
          </w:p>
          <w:p>
            <w:pPr>
              <w:pStyle w:val="2"/>
              <w:jc w:val="center"/>
              <w:rPr>
                <w:rFonts w:hint="eastAsia" w:ascii="宋体" w:hAnsi="宋体" w:eastAsia="宋体" w:cs="宋体"/>
                <w:sz w:val="24"/>
                <w:szCs w:val="24"/>
              </w:rPr>
            </w:pPr>
            <w:r>
              <w:rPr>
                <w:rFonts w:hint="eastAsia" w:ascii="宋体" w:hAnsi="宋体" w:eastAsia="宋体" w:cs="宋体"/>
                <w:sz w:val="24"/>
                <w:szCs w:val="24"/>
              </w:rPr>
              <w:t>（元）</w:t>
            </w:r>
          </w:p>
        </w:tc>
        <w:tc>
          <w:tcPr>
            <w:tcW w:w="21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1</w:t>
            </w:r>
          </w:p>
        </w:tc>
        <w:tc>
          <w:tcPr>
            <w:tcW w:w="1927"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eastAsia" w:ascii="宋体" w:hAnsi="宋体" w:eastAsia="宋体" w:cs="宋体"/>
                <w:sz w:val="24"/>
                <w:szCs w:val="24"/>
              </w:rPr>
            </w:pPr>
            <w:r>
              <w:rPr>
                <w:rFonts w:hint="eastAsia" w:hAnsi="宋体" w:cs="宋体"/>
                <w:b w:val="0"/>
                <w:bCs w:val="0"/>
                <w:i w:val="0"/>
                <w:color w:val="000000"/>
                <w:kern w:val="0"/>
                <w:sz w:val="24"/>
                <w:szCs w:val="24"/>
                <w:u w:val="none"/>
                <w:lang w:val="en-US" w:eastAsia="zh-CN" w:bidi="ar"/>
              </w:rPr>
              <w:t>强光手电筒</w:t>
            </w:r>
          </w:p>
        </w:tc>
        <w:tc>
          <w:tcPr>
            <w:tcW w:w="2433"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WY7110</w:t>
            </w:r>
          </w:p>
        </w:tc>
        <w:tc>
          <w:tcPr>
            <w:tcW w:w="85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宋体" w:hAnsi="宋体" w:eastAsia="宋体" w:cs="宋体"/>
                <w:sz w:val="24"/>
                <w:szCs w:val="24"/>
                <w:lang w:val="en-US" w:eastAsia="zh-CN"/>
              </w:rPr>
            </w:pPr>
            <w:r>
              <w:rPr>
                <w:rFonts w:hint="eastAsia" w:cs="宋体"/>
                <w:sz w:val="24"/>
                <w:szCs w:val="24"/>
                <w:lang w:val="en-US" w:eastAsia="zh-CN"/>
              </w:rPr>
              <w:t>40把</w:t>
            </w:r>
          </w:p>
        </w:tc>
        <w:tc>
          <w:tcPr>
            <w:tcW w:w="99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123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ascii="宋体" w:hAnsi="宋体" w:eastAsia="宋体" w:cs="宋体"/>
                <w:sz w:val="24"/>
                <w:szCs w:val="24"/>
                <w:lang w:eastAsia="zh-CN"/>
              </w:rPr>
            </w:pPr>
          </w:p>
        </w:tc>
        <w:tc>
          <w:tcPr>
            <w:tcW w:w="2160" w:type="dxa"/>
            <w:tcBorders>
              <w:top w:val="single" w:color="auto" w:sz="4" w:space="0"/>
              <w:left w:val="nil"/>
              <w:bottom w:val="single" w:color="auto" w:sz="4" w:space="0"/>
              <w:right w:val="single" w:color="auto" w:sz="4" w:space="0"/>
            </w:tcBorders>
            <w:shd w:val="clear" w:color="auto" w:fill="auto"/>
            <w:vAlign w:val="center"/>
          </w:tcPr>
          <w:p>
            <w:pPr>
              <w:rPr>
                <w:rFonts w:hint="eastAsia" w:ascii="宋体" w:hAnsi="宋体" w:eastAsia="宋体" w:cs="宋体"/>
                <w:sz w:val="24"/>
                <w:szCs w:val="24"/>
                <w:lang w:eastAsia="zh-CN"/>
              </w:rPr>
            </w:pPr>
          </w:p>
        </w:tc>
      </w:tr>
      <w:tr>
        <w:tblPrEx>
          <w:tblCellMar>
            <w:top w:w="0" w:type="dxa"/>
            <w:left w:w="108" w:type="dxa"/>
            <w:bottom w:w="0" w:type="dxa"/>
            <w:right w:w="108" w:type="dxa"/>
          </w:tblCellMar>
        </w:tblPrEx>
        <w:trPr>
          <w:trHeight w:val="675" w:hRule="atLeast"/>
        </w:trPr>
        <w:tc>
          <w:tcPr>
            <w:tcW w:w="47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color w:val="000000"/>
                <w:sz w:val="18"/>
                <w:szCs w:val="18"/>
                <w:lang w:val="en-US" w:eastAsia="zh-CN" w:bidi="ar"/>
              </w:rPr>
            </w:pPr>
            <w:r>
              <w:rPr>
                <w:rFonts w:hint="eastAsia"/>
                <w:b/>
                <w:color w:val="000000"/>
                <w:szCs w:val="21"/>
                <w:lang w:eastAsia="zh-CN"/>
              </w:rPr>
              <w:t>含税总计 大写（小写）</w:t>
            </w:r>
          </w:p>
        </w:tc>
        <w:tc>
          <w:tcPr>
            <w:tcW w:w="523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top"/>
              <w:rPr>
                <w:rFonts w:ascii="宋体" w:hAnsi="宋体" w:eastAsia="宋体" w:cs="宋体"/>
                <w:b/>
                <w:color w:val="000000"/>
                <w:sz w:val="22"/>
                <w:szCs w:val="21"/>
                <w:lang w:val="en-US" w:eastAsia="zh-CN" w:bidi="ar-SA"/>
              </w:rPr>
            </w:pPr>
            <w:r>
              <w:rPr>
                <w:rFonts w:hint="eastAsia"/>
                <w:b/>
                <w:color w:val="000000"/>
                <w:szCs w:val="21"/>
                <w:lang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B121B5"/>
    <w:rsid w:val="06F50B00"/>
    <w:rsid w:val="076E1278"/>
    <w:rsid w:val="07D95A22"/>
    <w:rsid w:val="08153C1F"/>
    <w:rsid w:val="08D1141D"/>
    <w:rsid w:val="0B296DE2"/>
    <w:rsid w:val="0CEC2637"/>
    <w:rsid w:val="0D103128"/>
    <w:rsid w:val="0D704EEE"/>
    <w:rsid w:val="0EEC5213"/>
    <w:rsid w:val="0FBB2AA9"/>
    <w:rsid w:val="10294AA3"/>
    <w:rsid w:val="10E40CA0"/>
    <w:rsid w:val="12A4052D"/>
    <w:rsid w:val="136130D9"/>
    <w:rsid w:val="15342061"/>
    <w:rsid w:val="1571589E"/>
    <w:rsid w:val="164500FE"/>
    <w:rsid w:val="18D85DB9"/>
    <w:rsid w:val="18DD4F7E"/>
    <w:rsid w:val="195B58A2"/>
    <w:rsid w:val="1B79633D"/>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2E8E3D52"/>
    <w:rsid w:val="306C6CAE"/>
    <w:rsid w:val="30D07398"/>
    <w:rsid w:val="31C54755"/>
    <w:rsid w:val="3216608C"/>
    <w:rsid w:val="34CE14C6"/>
    <w:rsid w:val="34D84CEC"/>
    <w:rsid w:val="35880579"/>
    <w:rsid w:val="37AF5AB7"/>
    <w:rsid w:val="3B1C3371"/>
    <w:rsid w:val="3B4C274E"/>
    <w:rsid w:val="3CC23198"/>
    <w:rsid w:val="3DDF4815"/>
    <w:rsid w:val="3FE669E5"/>
    <w:rsid w:val="454347BE"/>
    <w:rsid w:val="49A31EDC"/>
    <w:rsid w:val="500F48EF"/>
    <w:rsid w:val="50F63E28"/>
    <w:rsid w:val="52105747"/>
    <w:rsid w:val="5221007F"/>
    <w:rsid w:val="52926B5A"/>
    <w:rsid w:val="545C5E51"/>
    <w:rsid w:val="5486175B"/>
    <w:rsid w:val="57667D24"/>
    <w:rsid w:val="57CE5BC3"/>
    <w:rsid w:val="58492F99"/>
    <w:rsid w:val="58604AE0"/>
    <w:rsid w:val="59F5351B"/>
    <w:rsid w:val="5AE1516A"/>
    <w:rsid w:val="5B6207E4"/>
    <w:rsid w:val="5B6A3A79"/>
    <w:rsid w:val="5C1A5F7B"/>
    <w:rsid w:val="5C8277EA"/>
    <w:rsid w:val="5E88034A"/>
    <w:rsid w:val="60161979"/>
    <w:rsid w:val="627C4924"/>
    <w:rsid w:val="645771F8"/>
    <w:rsid w:val="68B757AA"/>
    <w:rsid w:val="6A54112D"/>
    <w:rsid w:val="6AA035AE"/>
    <w:rsid w:val="6CA258AD"/>
    <w:rsid w:val="6CD44A05"/>
    <w:rsid w:val="6D8E1F39"/>
    <w:rsid w:val="6DE6205D"/>
    <w:rsid w:val="6E0F2E14"/>
    <w:rsid w:val="6E1A1323"/>
    <w:rsid w:val="6F1E141D"/>
    <w:rsid w:val="6F5354F8"/>
    <w:rsid w:val="6F855916"/>
    <w:rsid w:val="729329B5"/>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1"/>
    <w:qFormat/>
    <w:uiPriority w:val="99"/>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7">
    <w:name w:val="Default Paragraph Font"/>
    <w:unhideWhenUsed/>
    <w:qFormat/>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customStyle="1" w:styleId="2">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9"/>
    <w:qFormat/>
    <w:uiPriority w:val="1"/>
    <w:rPr>
      <w:sz w:val="24"/>
      <w:szCs w:val="24"/>
    </w:rPr>
  </w:style>
  <w:style w:type="paragraph" w:styleId="11">
    <w:name w:val="Body Text Indent"/>
    <w:basedOn w:val="1"/>
    <w:link w:val="63"/>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5"/>
    <w:qFormat/>
    <w:uiPriority w:val="99"/>
    <w:rPr>
      <w:rFonts w:hAnsi="Courier New" w:cs="Courier New"/>
      <w:szCs w:val="21"/>
    </w:rPr>
  </w:style>
  <w:style w:type="paragraph" w:styleId="14">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4"/>
    <w:qFormat/>
    <w:uiPriority w:val="0"/>
    <w:pPr>
      <w:spacing w:after="120" w:line="480" w:lineRule="auto"/>
      <w:ind w:left="420" w:leftChars="200"/>
    </w:pPr>
  </w:style>
  <w:style w:type="paragraph" w:styleId="16">
    <w:name w:val="Balloon Text"/>
    <w:basedOn w:val="1"/>
    <w:link w:val="45"/>
    <w:qFormat/>
    <w:uiPriority w:val="99"/>
    <w:rPr>
      <w:sz w:val="18"/>
      <w:szCs w:val="18"/>
    </w:rPr>
  </w:style>
  <w:style w:type="paragraph" w:styleId="17">
    <w:name w:val="footer"/>
    <w:basedOn w:val="1"/>
    <w:link w:val="46"/>
    <w:qFormat/>
    <w:uiPriority w:val="99"/>
    <w:pPr>
      <w:tabs>
        <w:tab w:val="center" w:pos="4153"/>
        <w:tab w:val="right" w:pos="8306"/>
      </w:tabs>
      <w:snapToGrid w:val="0"/>
    </w:pPr>
    <w:rPr>
      <w:sz w:val="18"/>
      <w:szCs w:val="18"/>
    </w:rPr>
  </w:style>
  <w:style w:type="paragraph" w:styleId="18">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3"/>
    <w:qFormat/>
    <w:uiPriority w:val="0"/>
    <w:pPr>
      <w:spacing w:after="120" w:line="480" w:lineRule="auto"/>
    </w:pPr>
  </w:style>
  <w:style w:type="paragraph" w:styleId="23">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4">
    <w:name w:val="Body Text First Indent 2"/>
    <w:basedOn w:val="11"/>
    <w:next w:val="1"/>
    <w:qFormat/>
    <w:uiPriority w:val="0"/>
    <w:pPr>
      <w:ind w:firstLine="420" w:firstLineChars="200"/>
    </w:p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99"/>
    <w:rPr>
      <w:b/>
      <w:bCs/>
    </w:rPr>
  </w:style>
  <w:style w:type="character" w:styleId="29">
    <w:name w:val="page number"/>
    <w:basedOn w:val="27"/>
    <w:qFormat/>
    <w:uiPriority w:val="99"/>
    <w:rPr>
      <w:rFonts w:cs="Times New Roman"/>
    </w:rPr>
  </w:style>
  <w:style w:type="character" w:styleId="30">
    <w:name w:val="FollowedHyperlink"/>
    <w:basedOn w:val="27"/>
    <w:qFormat/>
    <w:uiPriority w:val="99"/>
    <w:rPr>
      <w:rFonts w:cs="Times New Roman"/>
      <w:color w:val="800080"/>
      <w:u w:val="single"/>
    </w:rPr>
  </w:style>
  <w:style w:type="character" w:styleId="31">
    <w:name w:val="Emphasis"/>
    <w:basedOn w:val="27"/>
    <w:qFormat/>
    <w:uiPriority w:val="20"/>
    <w:rPr>
      <w:i/>
      <w:iCs/>
    </w:rPr>
  </w:style>
  <w:style w:type="character" w:styleId="32">
    <w:name w:val="HTML Definition"/>
    <w:basedOn w:val="27"/>
    <w:qFormat/>
    <w:uiPriority w:val="0"/>
  </w:style>
  <w:style w:type="character" w:styleId="33">
    <w:name w:val="HTML Variable"/>
    <w:basedOn w:val="27"/>
    <w:qFormat/>
    <w:uiPriority w:val="0"/>
  </w:style>
  <w:style w:type="character" w:styleId="34">
    <w:name w:val="Hyperlink"/>
    <w:basedOn w:val="27"/>
    <w:qFormat/>
    <w:uiPriority w:val="99"/>
    <w:rPr>
      <w:color w:val="0000FF"/>
      <w:u w:val="single"/>
    </w:rPr>
  </w:style>
  <w:style w:type="character" w:styleId="35">
    <w:name w:val="HTML Code"/>
    <w:basedOn w:val="27"/>
    <w:qFormat/>
    <w:uiPriority w:val="0"/>
    <w:rPr>
      <w:rFonts w:ascii="Courier New" w:hAnsi="Courier New"/>
      <w:sz w:val="20"/>
    </w:rPr>
  </w:style>
  <w:style w:type="character" w:styleId="36">
    <w:name w:val="HTML Cite"/>
    <w:basedOn w:val="27"/>
    <w:qFormat/>
    <w:uiPriority w:val="0"/>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7"/>
    <w:link w:val="14"/>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7"/>
    <w:qFormat/>
    <w:uiPriority w:val="0"/>
    <w:rPr>
      <w:color w:val="0000FF"/>
      <w:sz w:val="18"/>
      <w:szCs w:val="18"/>
      <w:u w:val="none"/>
      <w:bdr w:val="single" w:color="DCDCDC" w:sz="8" w:space="0"/>
      <w:shd w:val="clear" w:color="auto" w:fill="FFFFFF"/>
    </w:rPr>
  </w:style>
  <w:style w:type="character" w:customStyle="1" w:styleId="45">
    <w:name w:val="批注框文本 Char"/>
    <w:basedOn w:val="27"/>
    <w:link w:val="16"/>
    <w:qFormat/>
    <w:uiPriority w:val="99"/>
    <w:rPr>
      <w:rFonts w:ascii="宋体" w:hAnsi="宋体" w:cs="宋体"/>
      <w:sz w:val="18"/>
      <w:szCs w:val="18"/>
      <w:lang w:eastAsia="en-US"/>
    </w:rPr>
  </w:style>
  <w:style w:type="character" w:customStyle="1" w:styleId="46">
    <w:name w:val="页脚 Char"/>
    <w:basedOn w:val="27"/>
    <w:link w:val="17"/>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7"/>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7"/>
    <w:link w:val="5"/>
    <w:qFormat/>
    <w:uiPriority w:val="0"/>
    <w:rPr>
      <w:rFonts w:ascii="宋体" w:hAnsi="宋体" w:cs="宋体"/>
      <w:b/>
      <w:bCs/>
      <w:sz w:val="32"/>
      <w:szCs w:val="32"/>
      <w:lang w:eastAsia="en-US"/>
    </w:rPr>
  </w:style>
  <w:style w:type="character" w:customStyle="1" w:styleId="51">
    <w:name w:val="批注文字 Char"/>
    <w:basedOn w:val="27"/>
    <w:link w:val="9"/>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7"/>
    <w:link w:val="22"/>
    <w:qFormat/>
    <w:uiPriority w:val="0"/>
    <w:rPr>
      <w:rFonts w:ascii="宋体" w:hAnsi="宋体" w:cs="宋体"/>
      <w:sz w:val="22"/>
      <w:szCs w:val="22"/>
      <w:lang w:eastAsia="en-US"/>
    </w:rPr>
  </w:style>
  <w:style w:type="character" w:customStyle="1" w:styleId="54">
    <w:name w:val="正文文本缩进 2 Char"/>
    <w:basedOn w:val="27"/>
    <w:link w:val="15"/>
    <w:qFormat/>
    <w:uiPriority w:val="0"/>
    <w:rPr>
      <w:rFonts w:ascii="宋体" w:hAnsi="宋体" w:cs="宋体"/>
      <w:sz w:val="22"/>
      <w:szCs w:val="22"/>
      <w:lang w:eastAsia="en-US"/>
    </w:rPr>
  </w:style>
  <w:style w:type="character" w:customStyle="1" w:styleId="55">
    <w:name w:val="纯文本 Char1"/>
    <w:basedOn w:val="27"/>
    <w:link w:val="13"/>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7"/>
    <w:link w:val="4"/>
    <w:qFormat/>
    <w:uiPriority w:val="0"/>
    <w:rPr>
      <w:rFonts w:ascii="宋体" w:hAnsi="宋体" w:cs="宋体"/>
      <w:b/>
      <w:bCs/>
      <w:sz w:val="24"/>
      <w:szCs w:val="24"/>
      <w:lang w:eastAsia="en-US"/>
    </w:rPr>
  </w:style>
  <w:style w:type="character" w:customStyle="1" w:styleId="58">
    <w:name w:val="正文缩进 Char"/>
    <w:link w:val="7"/>
    <w:qFormat/>
    <w:uiPriority w:val="0"/>
    <w:rPr>
      <w:sz w:val="24"/>
    </w:rPr>
  </w:style>
  <w:style w:type="character" w:customStyle="1" w:styleId="59">
    <w:name w:val="正文文本 Char"/>
    <w:basedOn w:val="27"/>
    <w:link w:val="10"/>
    <w:qFormat/>
    <w:uiPriority w:val="0"/>
    <w:rPr>
      <w:rFonts w:ascii="宋体" w:hAnsi="宋体" w:cs="宋体"/>
      <w:sz w:val="24"/>
      <w:szCs w:val="24"/>
      <w:lang w:eastAsia="en-US"/>
    </w:rPr>
  </w:style>
  <w:style w:type="character" w:customStyle="1" w:styleId="60">
    <w:name w:val="普通文字 Char2"/>
    <w:basedOn w:val="27"/>
    <w:qFormat/>
    <w:uiPriority w:val="0"/>
    <w:rPr>
      <w:rFonts w:ascii="宋体" w:hAnsi="Courier New" w:cs="Courier New"/>
      <w:sz w:val="22"/>
      <w:szCs w:val="21"/>
      <w:lang w:eastAsia="en-US"/>
    </w:rPr>
  </w:style>
  <w:style w:type="character" w:customStyle="1" w:styleId="61">
    <w:name w:val="标题 1 Char"/>
    <w:link w:val="3"/>
    <w:qFormat/>
    <w:uiPriority w:val="99"/>
    <w:rPr>
      <w:rFonts w:ascii="宋体" w:hAnsi="宋体" w:cs="宋体"/>
      <w:b/>
      <w:bCs/>
      <w:sz w:val="28"/>
      <w:szCs w:val="28"/>
      <w:lang w:eastAsia="en-US"/>
    </w:rPr>
  </w:style>
  <w:style w:type="character" w:customStyle="1" w:styleId="62">
    <w:name w:val="正文1 Char"/>
    <w:basedOn w:val="27"/>
    <w:link w:val="2"/>
    <w:qFormat/>
    <w:locked/>
    <w:uiPriority w:val="0"/>
    <w:rPr>
      <w:rFonts w:ascii="宋体" w:hAnsi="Calibri"/>
      <w:sz w:val="34"/>
      <w:szCs w:val="22"/>
    </w:rPr>
  </w:style>
  <w:style w:type="character" w:customStyle="1" w:styleId="63">
    <w:name w:val="正文文本缩进 Char"/>
    <w:basedOn w:val="27"/>
    <w:link w:val="11"/>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7"/>
    <w:link w:val="6"/>
    <w:qFormat/>
    <w:uiPriority w:val="99"/>
    <w:rPr>
      <w:rFonts w:ascii="Arial" w:hAnsi="Arial" w:eastAsia="黑体"/>
      <w:b/>
      <w:bCs/>
      <w:kern w:val="2"/>
      <w:sz w:val="28"/>
      <w:szCs w:val="28"/>
    </w:rPr>
  </w:style>
  <w:style w:type="character" w:customStyle="1" w:styleId="66">
    <w:name w:val="文档结构图 Char"/>
    <w:basedOn w:val="27"/>
    <w:link w:val="8"/>
    <w:qFormat/>
    <w:uiPriority w:val="99"/>
    <w:rPr>
      <w:rFonts w:ascii="宋体"/>
      <w:kern w:val="2"/>
      <w:sz w:val="18"/>
      <w:szCs w:val="18"/>
    </w:rPr>
  </w:style>
  <w:style w:type="character" w:customStyle="1" w:styleId="67">
    <w:name w:val="副标题 Char"/>
    <w:basedOn w:val="27"/>
    <w:link w:val="20"/>
    <w:qFormat/>
    <w:uiPriority w:val="99"/>
    <w:rPr>
      <w:rFonts w:ascii="Cambria" w:hAnsi="Cambria"/>
      <w:b/>
      <w:bCs/>
      <w:kern w:val="28"/>
      <w:sz w:val="32"/>
      <w:szCs w:val="32"/>
    </w:rPr>
  </w:style>
  <w:style w:type="character" w:customStyle="1" w:styleId="68">
    <w:name w:val="标题 Char"/>
    <w:basedOn w:val="27"/>
    <w:link w:val="23"/>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7"/>
    <w:link w:val="18"/>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7"/>
    <w:qFormat/>
    <w:uiPriority w:val="0"/>
    <w:rPr>
      <w:color w:val="FFFFFF"/>
    </w:rPr>
  </w:style>
  <w:style w:type="character" w:customStyle="1" w:styleId="78">
    <w:name w:val="tmpztreemove_arrow"/>
    <w:basedOn w:val="27"/>
    <w:qFormat/>
    <w:uiPriority w:val="0"/>
  </w:style>
  <w:style w:type="character" w:customStyle="1" w:styleId="79">
    <w:name w:val="cy"/>
    <w:basedOn w:val="27"/>
    <w:qFormat/>
    <w:uiPriority w:val="0"/>
  </w:style>
  <w:style w:type="character" w:customStyle="1" w:styleId="80">
    <w:name w:val="associateddata"/>
    <w:basedOn w:val="27"/>
    <w:qFormat/>
    <w:uiPriority w:val="0"/>
    <w:rPr>
      <w:shd w:val="clear" w:fill="50A6F9"/>
    </w:rPr>
  </w:style>
  <w:style w:type="character" w:customStyle="1" w:styleId="81">
    <w:name w:val="choosename"/>
    <w:basedOn w:val="27"/>
    <w:qFormat/>
    <w:uiPriority w:val="0"/>
  </w:style>
  <w:style w:type="character" w:customStyle="1" w:styleId="82">
    <w:name w:val="xdrichtextbox"/>
    <w:basedOn w:val="27"/>
    <w:qFormat/>
    <w:uiPriority w:val="0"/>
    <w:rPr>
      <w:color w:val="auto"/>
      <w:u w:val="none"/>
      <w:bdr w:val="single" w:color="DCDCDC" w:sz="8" w:space="0"/>
      <w:shd w:val="clear" w:fill="auto"/>
    </w:rPr>
  </w:style>
  <w:style w:type="character" w:customStyle="1" w:styleId="83">
    <w:name w:val="iconline2"/>
    <w:basedOn w:val="27"/>
    <w:qFormat/>
    <w:uiPriority w:val="0"/>
  </w:style>
  <w:style w:type="character" w:customStyle="1" w:styleId="84">
    <w:name w:val="iconline21"/>
    <w:basedOn w:val="27"/>
    <w:qFormat/>
    <w:uiPriority w:val="0"/>
  </w:style>
  <w:style w:type="character" w:customStyle="1" w:styleId="85">
    <w:name w:val="design_class"/>
    <w:basedOn w:val="27"/>
    <w:qFormat/>
    <w:uiPriority w:val="0"/>
  </w:style>
  <w:style w:type="character" w:customStyle="1" w:styleId="86">
    <w:name w:val="button"/>
    <w:basedOn w:val="27"/>
    <w:qFormat/>
    <w:uiPriority w:val="0"/>
  </w:style>
  <w:style w:type="character" w:customStyle="1" w:styleId="87">
    <w:name w:val="layui-layer-tabnow"/>
    <w:basedOn w:val="27"/>
    <w:qFormat/>
    <w:uiPriority w:val="0"/>
    <w:rPr>
      <w:bdr w:val="single" w:color="CCCCCC" w:sz="6" w:space="0"/>
      <w:shd w:val="clear" w:fill="FFFFFF"/>
    </w:rPr>
  </w:style>
  <w:style w:type="character" w:customStyle="1" w:styleId="88">
    <w:name w:val="icontext1"/>
    <w:basedOn w:val="27"/>
    <w:qFormat/>
    <w:uiPriority w:val="0"/>
  </w:style>
  <w:style w:type="character" w:customStyle="1" w:styleId="89">
    <w:name w:val="icontext11"/>
    <w:basedOn w:val="27"/>
    <w:qFormat/>
    <w:uiPriority w:val="0"/>
  </w:style>
  <w:style w:type="character" w:customStyle="1" w:styleId="90">
    <w:name w:val="icontext12"/>
    <w:basedOn w:val="27"/>
    <w:qFormat/>
    <w:uiPriority w:val="0"/>
  </w:style>
  <w:style w:type="character" w:customStyle="1" w:styleId="91">
    <w:name w:val="after"/>
    <w:basedOn w:val="27"/>
    <w:qFormat/>
    <w:uiPriority w:val="0"/>
    <w:rPr>
      <w:sz w:val="0"/>
      <w:szCs w:val="0"/>
    </w:rPr>
  </w:style>
  <w:style w:type="character" w:customStyle="1" w:styleId="92">
    <w:name w:val="hilite6"/>
    <w:basedOn w:val="27"/>
    <w:qFormat/>
    <w:uiPriority w:val="0"/>
    <w:rPr>
      <w:color w:val="FFFFFF"/>
      <w:shd w:val="clear" w:fill="666666"/>
    </w:rPr>
  </w:style>
  <w:style w:type="character" w:customStyle="1" w:styleId="93">
    <w:name w:val="active2"/>
    <w:basedOn w:val="27"/>
    <w:qFormat/>
    <w:uiPriority w:val="0"/>
    <w:rPr>
      <w:color w:val="00FF00"/>
      <w:shd w:val="clear" w:fill="111111"/>
    </w:rPr>
  </w:style>
  <w:style w:type="character" w:customStyle="1" w:styleId="94">
    <w:name w:val="active3"/>
    <w:basedOn w:val="27"/>
    <w:qFormat/>
    <w:uiPriority w:val="0"/>
    <w:rPr>
      <w:shd w:val="clear" w:fill="EC3535"/>
    </w:rPr>
  </w:style>
  <w:style w:type="character" w:customStyle="1" w:styleId="95">
    <w:name w:val="w32"/>
    <w:basedOn w:val="27"/>
    <w:qFormat/>
    <w:uiPriority w:val="0"/>
  </w:style>
  <w:style w:type="character" w:customStyle="1" w:styleId="96">
    <w:name w:val="biggerthanmax"/>
    <w:basedOn w:val="27"/>
    <w:qFormat/>
    <w:uiPriority w:val="0"/>
    <w:rPr>
      <w:shd w:val="clear" w:fill="FFFF00"/>
    </w:rPr>
  </w:style>
  <w:style w:type="character" w:customStyle="1" w:styleId="97">
    <w:name w:val="cdropright"/>
    <w:basedOn w:val="27"/>
    <w:qFormat/>
    <w:uiPriority w:val="0"/>
  </w:style>
  <w:style w:type="character" w:customStyle="1" w:styleId="98">
    <w:name w:val="pagechatarealistclose_box"/>
    <w:basedOn w:val="27"/>
    <w:qFormat/>
    <w:uiPriority w:val="0"/>
  </w:style>
  <w:style w:type="character" w:customStyle="1" w:styleId="99">
    <w:name w:val="pagechatarealistclose_box1"/>
    <w:basedOn w:val="27"/>
    <w:qFormat/>
    <w:uiPriority w:val="0"/>
  </w:style>
  <w:style w:type="character" w:customStyle="1" w:styleId="100">
    <w:name w:val="ico1654"/>
    <w:basedOn w:val="27"/>
    <w:qFormat/>
    <w:uiPriority w:val="0"/>
  </w:style>
  <w:style w:type="character" w:customStyle="1" w:styleId="101">
    <w:name w:val="ico1655"/>
    <w:basedOn w:val="27"/>
    <w:qFormat/>
    <w:uiPriority w:val="0"/>
  </w:style>
  <w:style w:type="character" w:customStyle="1" w:styleId="102">
    <w:name w:val="drapbtn"/>
    <w:basedOn w:val="27"/>
    <w:qFormat/>
    <w:uiPriority w:val="0"/>
  </w:style>
  <w:style w:type="character" w:customStyle="1" w:styleId="103">
    <w:name w:val="cdropleft"/>
    <w:basedOn w:val="27"/>
    <w:qFormat/>
    <w:uiPriority w:val="0"/>
  </w:style>
  <w:style w:type="character" w:customStyle="1" w:styleId="104">
    <w:name w:val="icontext2"/>
    <w:basedOn w:val="27"/>
    <w:qFormat/>
    <w:uiPriority w:val="0"/>
  </w:style>
  <w:style w:type="character" w:customStyle="1" w:styleId="105">
    <w:name w:val="icontext3"/>
    <w:basedOn w:val="27"/>
    <w:qFormat/>
    <w:uiPriority w:val="0"/>
  </w:style>
  <w:style w:type="character" w:customStyle="1" w:styleId="106">
    <w:name w:val="first-child"/>
    <w:basedOn w:val="27"/>
    <w:qFormat/>
    <w:uiPriority w:val="0"/>
  </w:style>
  <w:style w:type="character" w:customStyle="1" w:styleId="107">
    <w:name w:val="edit_class"/>
    <w:basedOn w:val="2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11353</Words>
  <Characters>11812</Characters>
  <Lines>146</Lines>
  <Paragraphs>41</Paragraphs>
  <TotalTime>3</TotalTime>
  <ScaleCrop>false</ScaleCrop>
  <LinksUpToDate>false</LinksUpToDate>
  <CharactersWithSpaces>12852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2023-04-07T08:47:02Z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0A30C12B16FD42658B4CD8F19D0CD055_13</vt:lpwstr>
  </property>
</Properties>
</file>