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PTA打包流程优化研究项目-链板机采购发包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FHC-PTCG20220922003</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w:t>
      </w:r>
      <w:r>
        <w:rPr>
          <w:rFonts w:hint="eastAsia" w:ascii="微软雅黑" w:eastAsia="微软雅黑"/>
          <w:b/>
          <w:color w:val="000000" w:themeColor="text1"/>
          <w:w w:val="95"/>
          <w:sz w:val="32"/>
          <w:lang w:val="en-US" w:eastAsia="zh-CN"/>
        </w:rPr>
        <w:t>年十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福建福海创石油化工有限公司PTA打包流程优化研究项目-链板机采购发包比选公告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福建福海创石油化工有限公司PTA打包流程优化研究项目-链板机采购发包（项目编号：FHC-PTCG20220922003</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项目名称：福建福海创石油化工有限公司PTA打包流程优化研究项目-链板机采购发包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及交期</w:t>
      </w:r>
      <w:r>
        <w:rPr>
          <w:rFonts w:hint="eastAsia"/>
          <w:sz w:val="24"/>
          <w:szCs w:val="24"/>
          <w:lang w:eastAsia="zh-CN"/>
        </w:rPr>
        <w:t>：</w:t>
      </w:r>
      <w:r>
        <w:rPr>
          <w:rFonts w:hint="eastAsia"/>
          <w:sz w:val="24"/>
          <w:szCs w:val="24"/>
          <w:lang w:val="en-US" w:eastAsia="zh-CN"/>
        </w:rPr>
        <w:t>详见附件发包说明</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50</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（1）参选人应是具备独立法人资格且有能力提供招标货物及服务的制造商。</w:t>
      </w:r>
    </w:p>
    <w:p>
      <w:pPr>
        <w:tabs>
          <w:tab w:val="left" w:pos="709"/>
        </w:tabs>
        <w:spacing w:line="360" w:lineRule="auto"/>
        <w:ind w:firstLine="480"/>
        <w:rPr>
          <w:rFonts w:hint="eastAsia"/>
          <w:sz w:val="24"/>
          <w:szCs w:val="24"/>
          <w:lang w:eastAsia="zh-CN"/>
        </w:rPr>
      </w:pPr>
      <w:r>
        <w:rPr>
          <w:rFonts w:hint="eastAsia"/>
          <w:sz w:val="24"/>
          <w:szCs w:val="24"/>
          <w:lang w:eastAsia="zh-CN"/>
        </w:rPr>
        <w:t>（2）自本项目在法定媒介发布招标公告之日的前五年内（含在法定媒介发布招标公告之日），参选人在中华人民共和国国境内（不含港、澳、台地区）应具有与本项目类似的PTA打包系统建设或改造业绩。</w:t>
      </w:r>
    </w:p>
    <w:p>
      <w:pPr>
        <w:tabs>
          <w:tab w:val="left" w:pos="709"/>
        </w:tabs>
        <w:spacing w:line="360" w:lineRule="auto"/>
        <w:ind w:firstLine="480"/>
        <w:rPr>
          <w:rFonts w:hint="eastAsia"/>
          <w:sz w:val="24"/>
          <w:szCs w:val="24"/>
          <w:lang w:eastAsia="zh-CN"/>
        </w:rPr>
      </w:pPr>
      <w:r>
        <w:rPr>
          <w:rFonts w:hint="eastAsia"/>
          <w:sz w:val="24"/>
          <w:szCs w:val="24"/>
          <w:lang w:eastAsia="zh-CN"/>
        </w:rPr>
        <w:t>（3）与</w:t>
      </w:r>
      <w:r>
        <w:rPr>
          <w:rFonts w:hint="eastAsia"/>
          <w:sz w:val="24"/>
          <w:szCs w:val="24"/>
          <w:lang w:val="en-US" w:eastAsia="zh-CN"/>
        </w:rPr>
        <w:t>参选人</w:t>
      </w:r>
      <w:r>
        <w:rPr>
          <w:rFonts w:hint="eastAsia"/>
          <w:sz w:val="24"/>
          <w:szCs w:val="24"/>
          <w:lang w:eastAsia="zh-CN"/>
        </w:rPr>
        <w:t>存在利害关系可能影响</w:t>
      </w:r>
      <w:r>
        <w:rPr>
          <w:rFonts w:hint="eastAsia"/>
          <w:sz w:val="24"/>
          <w:szCs w:val="24"/>
          <w:lang w:val="en-US" w:eastAsia="zh-CN"/>
        </w:rPr>
        <w:t>比选</w:t>
      </w:r>
      <w:r>
        <w:rPr>
          <w:rFonts w:hint="eastAsia"/>
          <w:sz w:val="24"/>
          <w:szCs w:val="24"/>
          <w:lang w:eastAsia="zh-CN"/>
        </w:rPr>
        <w:t>公正性的法人，不得</w:t>
      </w:r>
      <w:r>
        <w:rPr>
          <w:rFonts w:hint="eastAsia"/>
          <w:sz w:val="24"/>
          <w:szCs w:val="24"/>
          <w:lang w:val="en-US" w:eastAsia="zh-CN"/>
        </w:rPr>
        <w:t>参选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（4）单位负责人为同一人或者存在控股、管理关系的不同单位，不得同时参加本项目</w:t>
      </w:r>
      <w:r>
        <w:rPr>
          <w:rFonts w:hint="eastAsia"/>
          <w:sz w:val="24"/>
          <w:szCs w:val="24"/>
          <w:lang w:val="en-US" w:eastAsia="zh-CN"/>
        </w:rPr>
        <w:t>比选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（5）处于被责令停业或参选资格被取消或财产被接管、冻结、查封、破产等权利受限状态的参选人，不得参</w:t>
      </w:r>
      <w:r>
        <w:rPr>
          <w:rFonts w:hint="eastAsia"/>
          <w:sz w:val="24"/>
          <w:szCs w:val="24"/>
          <w:lang w:val="en-US" w:eastAsia="zh-CN"/>
        </w:rPr>
        <w:t>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（6）本项目不接受联合体参选。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需与</w:t>
      </w:r>
      <w:r>
        <w:rPr>
          <w:rFonts w:hint="eastAsia"/>
          <w:color w:val="000000" w:themeColor="text1"/>
          <w:sz w:val="24"/>
          <w:szCs w:val="24"/>
          <w:lang w:eastAsia="zh-CN"/>
        </w:rPr>
        <w:t>现场技术人员进行前期技术交流，详细阅读</w:t>
      </w:r>
      <w:r>
        <w:rPr>
          <w:rFonts w:hint="eastAsia"/>
          <w:color w:val="000000" w:themeColor="text1"/>
          <w:sz w:val="24"/>
          <w:szCs w:val="24"/>
          <w:lang w:val="en-US" w:eastAsia="zh-CN"/>
        </w:rPr>
        <w:t>附件发包说明</w:t>
      </w:r>
      <w:r>
        <w:rPr>
          <w:rFonts w:hint="eastAsia"/>
          <w:color w:val="000000" w:themeColor="text1"/>
          <w:sz w:val="24"/>
          <w:szCs w:val="24"/>
          <w:lang w:eastAsia="zh-CN"/>
        </w:rPr>
        <w:t>。技术交流后经</w:t>
      </w:r>
      <w:r>
        <w:rPr>
          <w:rFonts w:hint="eastAsia"/>
          <w:color w:val="000000" w:themeColor="text1"/>
          <w:sz w:val="24"/>
          <w:szCs w:val="24"/>
          <w:lang w:val="en-US" w:eastAsia="zh-CN"/>
        </w:rPr>
        <w:t>现场</w:t>
      </w:r>
      <w:r>
        <w:rPr>
          <w:rFonts w:hint="eastAsia"/>
          <w:color w:val="000000" w:themeColor="text1"/>
          <w:sz w:val="24"/>
          <w:szCs w:val="24"/>
          <w:lang w:eastAsia="zh-CN"/>
        </w:rPr>
        <w:t>技术人员确认合格</w:t>
      </w:r>
      <w:r>
        <w:rPr>
          <w:rFonts w:hint="eastAsia"/>
          <w:color w:val="000000" w:themeColor="text1"/>
          <w:sz w:val="24"/>
          <w:szCs w:val="24"/>
          <w:lang w:val="en-US" w:eastAsia="zh-CN"/>
        </w:rPr>
        <w:t>并签订技术协议</w:t>
      </w:r>
      <w:r>
        <w:rPr>
          <w:rFonts w:hint="eastAsia"/>
          <w:color w:val="000000" w:themeColor="text1"/>
          <w:sz w:val="24"/>
          <w:szCs w:val="24"/>
          <w:lang w:eastAsia="zh-CN"/>
        </w:rPr>
        <w:t>后，参选人方可参与后续比选，未进行报名和技术交流确认的参选人不能参加比选。技术交流及技术协议签订时间暂定为报名截止后</w:t>
      </w:r>
      <w:r>
        <w:rPr>
          <w:rFonts w:hint="eastAsia"/>
          <w:color w:val="000000" w:themeColor="text1"/>
          <w:sz w:val="24"/>
          <w:szCs w:val="24"/>
          <w:lang w:val="en-US" w:eastAsia="zh-CN"/>
        </w:rPr>
        <w:t>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19"/>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注明用途：PTA打包流程优化研究项目-链板机</w:t>
      </w:r>
      <w:r>
        <w:rPr>
          <w:rFonts w:hint="eastAsia"/>
          <w:color w:val="000000" w:themeColor="text1"/>
          <w:lang w:val="en-US" w:eastAsia="zh-CN"/>
        </w:rPr>
        <w:t>项目</w:t>
      </w:r>
      <w:r>
        <w:rPr>
          <w:rFonts w:hint="eastAsia"/>
          <w:color w:val="000000" w:themeColor="text1"/>
          <w:lang w:eastAsia="zh-CN"/>
        </w:rPr>
        <w:t>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bookmarkEnd w:id="1"/>
    <w:p>
      <w:pPr>
        <w:spacing w:line="360" w:lineRule="auto"/>
        <w:rPr>
          <w:sz w:val="24"/>
          <w:szCs w:val="24"/>
          <w:lang w:eastAsia="zh-CN"/>
        </w:rPr>
      </w:pPr>
    </w:p>
    <w:p>
      <w:pPr>
        <w:pStyle w:val="2"/>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2"/>
        <w:tabs>
          <w:tab w:val="left" w:pos="1262"/>
        </w:tabs>
        <w:spacing w:line="355" w:lineRule="exact"/>
        <w:ind w:left="0" w:right="108"/>
        <w:jc w:val="center"/>
        <w:rPr>
          <w:rFonts w:hint="eastAsia"/>
          <w:sz w:val="24"/>
          <w:szCs w:val="24"/>
          <w:lang w:eastAsia="zh-CN"/>
        </w:rPr>
      </w:pPr>
    </w:p>
    <w:p>
      <w:pPr>
        <w:pStyle w:val="2"/>
        <w:tabs>
          <w:tab w:val="left" w:pos="1262"/>
        </w:tabs>
        <w:spacing w:line="355" w:lineRule="exact"/>
        <w:ind w:left="0" w:right="108"/>
        <w:jc w:val="center"/>
        <w:rPr>
          <w:rFonts w:hint="eastAsia"/>
          <w:sz w:val="24"/>
          <w:szCs w:val="24"/>
          <w:lang w:eastAsia="zh-CN"/>
        </w:rPr>
      </w:pPr>
    </w:p>
    <w:p>
      <w:pPr>
        <w:pStyle w:val="2"/>
        <w:tabs>
          <w:tab w:val="left" w:pos="1262"/>
        </w:tabs>
        <w:spacing w:line="355" w:lineRule="exact"/>
        <w:ind w:left="0" w:right="108"/>
        <w:jc w:val="both"/>
        <w:rPr>
          <w:rFonts w:hint="eastAsia"/>
          <w:sz w:val="24"/>
          <w:szCs w:val="24"/>
          <w:lang w:eastAsia="zh-CN"/>
        </w:r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福建福海创石油化工有限公司PTA打包流程优化研究项目-链板机采购发包</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19"/>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许有权 18206067258，yqxu@fhcpec.com.cn</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（1）参选人应是具备独立法人资格且有能力提供招标货物及服务的制造商。</w:t>
      </w:r>
    </w:p>
    <w:p>
      <w:pPr>
        <w:tabs>
          <w:tab w:val="left" w:pos="709"/>
        </w:tabs>
        <w:spacing w:line="360" w:lineRule="auto"/>
        <w:ind w:firstLine="480"/>
        <w:rPr>
          <w:rFonts w:hint="eastAsia"/>
          <w:sz w:val="24"/>
          <w:szCs w:val="24"/>
          <w:lang w:eastAsia="zh-CN"/>
        </w:rPr>
      </w:pPr>
      <w:r>
        <w:rPr>
          <w:rFonts w:hint="eastAsia"/>
          <w:sz w:val="24"/>
          <w:szCs w:val="24"/>
          <w:lang w:eastAsia="zh-CN"/>
        </w:rPr>
        <w:t>（2）自本项目在法定媒介发布招标公告之日的前五年内（含在法定媒介发布招标公告之日），参选人在中华人民共和国国境内（不含港、澳、台地区）应具有与本项目类似的PTA打包系统建设或改造业绩。</w:t>
      </w:r>
    </w:p>
    <w:p>
      <w:pPr>
        <w:tabs>
          <w:tab w:val="left" w:pos="709"/>
        </w:tabs>
        <w:spacing w:line="360" w:lineRule="auto"/>
        <w:ind w:firstLine="480"/>
        <w:rPr>
          <w:rFonts w:hint="eastAsia"/>
          <w:sz w:val="24"/>
          <w:szCs w:val="24"/>
          <w:lang w:eastAsia="zh-CN"/>
        </w:rPr>
      </w:pPr>
      <w:r>
        <w:rPr>
          <w:rFonts w:hint="eastAsia"/>
          <w:sz w:val="24"/>
          <w:szCs w:val="24"/>
          <w:lang w:eastAsia="zh-CN"/>
        </w:rPr>
        <w:t>（3）与</w:t>
      </w:r>
      <w:r>
        <w:rPr>
          <w:rFonts w:hint="eastAsia"/>
          <w:sz w:val="24"/>
          <w:szCs w:val="24"/>
          <w:lang w:val="en-US" w:eastAsia="zh-CN"/>
        </w:rPr>
        <w:t>参选人</w:t>
      </w:r>
      <w:r>
        <w:rPr>
          <w:rFonts w:hint="eastAsia"/>
          <w:sz w:val="24"/>
          <w:szCs w:val="24"/>
          <w:lang w:eastAsia="zh-CN"/>
        </w:rPr>
        <w:t>存在利害关系可能影响</w:t>
      </w:r>
      <w:r>
        <w:rPr>
          <w:rFonts w:hint="eastAsia"/>
          <w:sz w:val="24"/>
          <w:szCs w:val="24"/>
          <w:lang w:val="en-US" w:eastAsia="zh-CN"/>
        </w:rPr>
        <w:t>比选</w:t>
      </w:r>
      <w:r>
        <w:rPr>
          <w:rFonts w:hint="eastAsia"/>
          <w:sz w:val="24"/>
          <w:szCs w:val="24"/>
          <w:lang w:eastAsia="zh-CN"/>
        </w:rPr>
        <w:t>公正性的法人，不得</w:t>
      </w:r>
      <w:r>
        <w:rPr>
          <w:rFonts w:hint="eastAsia"/>
          <w:sz w:val="24"/>
          <w:szCs w:val="24"/>
          <w:lang w:val="en-US" w:eastAsia="zh-CN"/>
        </w:rPr>
        <w:t>参选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（4）单位负责人为同一人或者存在控股、管理关系的不同单位，不得同时参加本项目</w:t>
      </w:r>
      <w:r>
        <w:rPr>
          <w:rFonts w:hint="eastAsia"/>
          <w:sz w:val="24"/>
          <w:szCs w:val="24"/>
          <w:lang w:val="en-US" w:eastAsia="zh-CN"/>
        </w:rPr>
        <w:t>比选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（5）处于被责令停业或参选资格被取消或财产被接管、冻结、查封、破产等权利受限状态的参选人，不得参</w:t>
      </w:r>
      <w:r>
        <w:rPr>
          <w:rFonts w:hint="eastAsia"/>
          <w:sz w:val="24"/>
          <w:szCs w:val="24"/>
          <w:lang w:val="en-US" w:eastAsia="zh-CN"/>
        </w:rPr>
        <w:t>选</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（6）本项目不接受联合体参选。</w:t>
      </w:r>
    </w:p>
    <w:p>
      <w:pPr>
        <w:pStyle w:val="19"/>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注明用途：PTA打包流程优化研究项目-链板机</w:t>
      </w:r>
      <w:r>
        <w:rPr>
          <w:rFonts w:hint="eastAsia"/>
          <w:color w:val="000000" w:themeColor="text1"/>
          <w:lang w:val="en-US" w:eastAsia="zh-CN"/>
        </w:rPr>
        <w:t>项目</w:t>
      </w:r>
      <w:r>
        <w:rPr>
          <w:rFonts w:hint="eastAsia"/>
          <w:color w:val="000000" w:themeColor="text1"/>
          <w:lang w:eastAsia="zh-CN"/>
        </w:rPr>
        <w:t>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9"/>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19"/>
        <w:spacing w:line="360" w:lineRule="auto"/>
        <w:ind w:right="121"/>
        <w:jc w:val="both"/>
        <w:rPr>
          <w:lang w:eastAsia="zh-CN"/>
        </w:rPr>
      </w:pPr>
      <w:r>
        <w:rPr>
          <w:rFonts w:hint="eastAsia"/>
          <w:lang w:eastAsia="zh-CN"/>
        </w:rPr>
        <w:t xml:space="preserve">    4.如有下列情况发生，将被没收参选保证金：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rFonts w:hint="eastAsia"/>
          <w:lang w:val="en-US" w:eastAsia="zh-CN"/>
        </w:rPr>
      </w:pPr>
      <w:r>
        <w:rPr>
          <w:rFonts w:hint="eastAsia"/>
          <w:lang w:val="en-US" w:eastAsia="zh-CN"/>
        </w:rPr>
        <w:t>技术文件，见附件参选书格式，可不胶装。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50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翔鹭</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翔鹭石化</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55"/>
      </w:pPr>
    </w:p>
    <w:p>
      <w:pPr>
        <w:pStyle w:val="55"/>
      </w:pPr>
    </w:p>
    <w:p>
      <w:pPr>
        <w:spacing w:line="480" w:lineRule="exact"/>
        <w:jc w:val="center"/>
        <w:rPr>
          <w:b/>
          <w:color w:val="000000"/>
          <w:sz w:val="44"/>
          <w:szCs w:val="44"/>
          <w:lang w:eastAsia="zh-CN"/>
        </w:rPr>
      </w:pPr>
      <w:r>
        <w:rPr>
          <w:rFonts w:hint="eastAsia"/>
          <w:b/>
          <w:color w:val="000000"/>
          <w:sz w:val="44"/>
          <w:szCs w:val="44"/>
          <w:lang w:eastAsia="zh-CN"/>
        </w:rPr>
        <w:t>PTA打包流程优化研究项目-链板机采购</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55"/>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rFonts w:hint="eastAsia"/>
          <w:sz w:val="24"/>
          <w:lang w:eastAsia="zh-CN"/>
        </w:rPr>
      </w:pPr>
    </w:p>
    <w:p>
      <w:pPr>
        <w:pStyle w:val="2"/>
        <w:rPr>
          <w:rFonts w:hint="eastAsia"/>
          <w:lang w:eastAsia="zh-CN"/>
        </w:rPr>
      </w:pPr>
    </w:p>
    <w:p>
      <w:pPr>
        <w:spacing w:line="360" w:lineRule="auto"/>
        <w:ind w:firstLine="480" w:firstLineChars="200"/>
        <w:rPr>
          <w:rFonts w:hint="eastAsia"/>
          <w:sz w:val="24"/>
          <w:lang w:eastAsia="zh-CN"/>
        </w:rPr>
      </w:pPr>
    </w:p>
    <w:p>
      <w:pPr>
        <w:keepNext w:val="0"/>
        <w:keepLines w:val="0"/>
        <w:pageBreakBefore w:val="0"/>
        <w:widowControl w:val="0"/>
        <w:kinsoku/>
        <w:wordWrap/>
        <w:overflowPunct/>
        <w:topLinePunct w:val="0"/>
        <w:autoSpaceDE w:val="0"/>
        <w:autoSpaceDN w:val="0"/>
        <w:bidi w:val="0"/>
        <w:adjustRightInd/>
        <w:snapToGrid/>
        <w:spacing w:line="120" w:lineRule="auto"/>
        <w:ind w:firstLine="480" w:firstLineChars="200"/>
        <w:textAlignment w:val="auto"/>
        <w:rPr>
          <w:rFonts w:hint="eastAsia"/>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120" w:lineRule="auto"/>
        <w:ind w:firstLine="0" w:firstLineChars="0"/>
        <w:textAlignment w:val="auto"/>
        <w:rPr>
          <w:rFonts w:hint="eastAsia" w:eastAsia="宋体"/>
          <w:lang w:eastAsia="zh-CN"/>
        </w:rPr>
      </w:pPr>
      <w:r>
        <w:rPr>
          <w:rFonts w:hint="eastAsia"/>
          <w:sz w:val="24"/>
        </w:rPr>
        <w:t>1、合同标的和合同价格</w:t>
      </w:r>
      <w:r>
        <w:rPr>
          <w:rFonts w:hint="eastAsia"/>
          <w:sz w:val="24"/>
          <w:lang w:eastAsia="zh-CN"/>
        </w:rPr>
        <w:t>：</w:t>
      </w:r>
    </w:p>
    <w:tbl>
      <w:tblPr>
        <w:tblStyle w:val="46"/>
        <w:tblpPr w:leftFromText="180" w:rightFromText="180" w:vertAnchor="text" w:horzAnchor="page" w:tblpX="1551" w:tblpY="29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127"/>
        <w:gridCol w:w="1701"/>
        <w:gridCol w:w="141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9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69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rFonts w:hint="eastAsia" w:eastAsia="宋体"/>
                <w:sz w:val="24"/>
                <w:lang w:val="en-US" w:eastAsia="zh-CN"/>
              </w:rPr>
            </w:pPr>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696" w:type="dxa"/>
            <w:vAlign w:val="center"/>
          </w:tcPr>
          <w:p>
            <w:pPr>
              <w:spacing w:line="120" w:lineRule="auto"/>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pPr>
              <w:spacing w:line="120" w:lineRule="auto"/>
              <w:jc w:val="center"/>
              <w:rPr>
                <w:sz w:val="24"/>
              </w:rPr>
            </w:pPr>
            <w:r>
              <w:rPr>
                <w:rFonts w:hint="eastAsia"/>
                <w:sz w:val="24"/>
              </w:rPr>
              <w:t>合同金额合计</w:t>
            </w:r>
          </w:p>
        </w:tc>
        <w:tc>
          <w:tcPr>
            <w:tcW w:w="694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 xml:space="preserve">人民币   </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360" w:lineRule="auto"/>
        <w:ind w:firstLine="480" w:firstLineChars="200"/>
        <w:rPr>
          <w:rFonts w:hint="eastAsia"/>
          <w:sz w:val="24"/>
        </w:rPr>
      </w:pPr>
      <w:r>
        <w:rPr>
          <w:rFonts w:hint="eastAsia"/>
          <w:sz w:val="24"/>
        </w:rPr>
        <w:t>上述金额为含税价格，包含了乙方提供本合同约定的产品及相应服务（如有）的全部价格，除非另有约定，甲方不再承担其他费用。</w:t>
      </w:r>
    </w:p>
    <w:p>
      <w:pPr>
        <w:spacing w:line="360" w:lineRule="auto"/>
        <w:ind w:firstLine="480" w:firstLineChars="200"/>
        <w:rPr>
          <w:rFonts w:hint="eastAsia"/>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rPr>
        <w:t>乙方负责送到。</w:t>
      </w:r>
      <w:r>
        <w:rPr>
          <w:sz w:val="24"/>
          <w:u w:val="single"/>
        </w:rPr>
        <w:t xml:space="preserve">  </w:t>
      </w:r>
    </w:p>
    <w:p>
      <w:pPr>
        <w:spacing w:line="360" w:lineRule="auto"/>
        <w:ind w:firstLine="480" w:firstLineChars="200"/>
        <w:rPr>
          <w:sz w:val="24"/>
        </w:rPr>
      </w:pPr>
      <w:r>
        <w:rPr>
          <w:rFonts w:hint="eastAsia"/>
          <w:sz w:val="24"/>
        </w:rPr>
        <w:t>2.2交货地点：</w:t>
      </w:r>
      <w:r>
        <w:rPr>
          <w:rFonts w:hint="eastAsia"/>
          <w:sz w:val="24"/>
          <w:u w:val="single"/>
        </w:rPr>
        <w:t>送到甲方指定地点。</w:t>
      </w:r>
      <w:r>
        <w:rPr>
          <w:sz w:val="24"/>
          <w:u w:val="single"/>
        </w:rPr>
        <w:t xml:space="preserve">     </w:t>
      </w:r>
      <w:r>
        <w:rPr>
          <w:rFonts w:hint="eastAsia"/>
          <w:sz w:val="24"/>
        </w:rPr>
        <w:t>（以甲方提供的送货清单和地址明细为准）</w:t>
      </w:r>
    </w:p>
    <w:p>
      <w:pPr>
        <w:spacing w:line="360" w:lineRule="auto"/>
        <w:ind w:firstLine="480" w:firstLineChars="200"/>
        <w:rPr>
          <w:sz w:val="24"/>
          <w:u w:val="single"/>
        </w:rPr>
      </w:pPr>
      <w:r>
        <w:rPr>
          <w:rFonts w:hint="eastAsia"/>
          <w:sz w:val="24"/>
        </w:rPr>
        <w:t>2.3交货时间：</w:t>
      </w:r>
      <w:r>
        <w:rPr>
          <w:rFonts w:hint="eastAsia"/>
          <w:sz w:val="24"/>
          <w:u w:val="none"/>
        </w:rPr>
        <w:t>合同签订后</w:t>
      </w:r>
      <w:r>
        <w:rPr>
          <w:rFonts w:hint="eastAsia"/>
          <w:sz w:val="24"/>
          <w:u w:val="single"/>
          <w:lang w:val="en-US" w:eastAsia="zh-CN"/>
        </w:rPr>
        <w:t xml:space="preserve">   </w:t>
      </w:r>
      <w:r>
        <w:rPr>
          <w:rFonts w:hint="eastAsia"/>
          <w:sz w:val="24"/>
          <w:u w:val="none"/>
        </w:rPr>
        <w:t>日内完成交货。到货</w:t>
      </w:r>
      <w:r>
        <w:rPr>
          <w:rFonts w:hint="eastAsia"/>
          <w:sz w:val="24"/>
          <w:u w:val="single"/>
        </w:rPr>
        <w:t xml:space="preserve">    </w:t>
      </w:r>
      <w:r>
        <w:rPr>
          <w:rFonts w:hint="eastAsia"/>
          <w:sz w:val="24"/>
          <w:u w:val="none"/>
        </w:rPr>
        <w:t>日内完成设备安装、测试及检定</w:t>
      </w:r>
      <w:r>
        <w:rPr>
          <w:rFonts w:hint="eastAsia"/>
          <w:sz w:val="24"/>
          <w:u w:val="none"/>
          <w:lang w:eastAsia="zh-CN"/>
        </w:rPr>
        <w:t>。</w:t>
      </w:r>
      <w:r>
        <w:rPr>
          <w:rFonts w:hint="eastAsia"/>
          <w:sz w:val="24"/>
          <w:u w:val="none"/>
        </w:rPr>
        <w:t xml:space="preserve">     </w:t>
      </w:r>
      <w:r>
        <w:rPr>
          <w:sz w:val="24"/>
          <w:u w:val="non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napToGrid w:val="0"/>
        <w:spacing w:beforeLines="0" w:afterLines="0" w:line="460" w:lineRule="exact"/>
        <w:ind w:left="480" w:hanging="480" w:hangingChars="200"/>
        <w:rPr>
          <w:rFonts w:hint="eastAsia" w:ascii="宋体" w:hAnsi="宋体" w:cs="宋体"/>
          <w:sz w:val="24"/>
          <w:szCs w:val="24"/>
          <w:highlight w:val="none"/>
        </w:rPr>
      </w:pPr>
      <w:r>
        <w:rPr>
          <w:rFonts w:hint="eastAsia" w:ascii="宋体" w:hAnsi="宋体" w:cs="宋体"/>
          <w:sz w:val="24"/>
          <w:szCs w:val="24"/>
          <w:highlight w:val="none"/>
        </w:rPr>
        <w:t>3.1 无预付款</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3.2 货物到货验收合格后支付款</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 xml:space="preserve">    货物到货验收合格后，凭以下列明的单证和文件，甲方在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)日历天内向乙方支付合同总价的</w:t>
      </w:r>
      <w:r>
        <w:rPr>
          <w:rFonts w:hint="eastAsia" w:ascii="宋体" w:hAnsi="宋体" w:cs="宋体"/>
          <w:sz w:val="24"/>
          <w:szCs w:val="24"/>
          <w:highlight w:val="none"/>
          <w:lang w:val="en-US" w:eastAsia="zh-CN"/>
        </w:rPr>
        <w:t>4</w:t>
      </w:r>
      <w:r>
        <w:rPr>
          <w:rFonts w:hint="eastAsia" w:ascii="宋体" w:hAnsi="宋体" w:cs="宋体"/>
          <w:sz w:val="24"/>
          <w:szCs w:val="24"/>
          <w:highlight w:val="none"/>
        </w:rPr>
        <w:t>0%，金额为人民币￥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 xml:space="preserve">    a.甲方收到乙方的合同总价</w:t>
      </w:r>
      <w:r>
        <w:rPr>
          <w:rFonts w:hint="eastAsia" w:ascii="宋体" w:hAnsi="宋体" w:cs="宋体"/>
          <w:sz w:val="24"/>
          <w:szCs w:val="24"/>
          <w:highlight w:val="none"/>
          <w:lang w:val="en-US" w:eastAsia="zh-CN"/>
        </w:rPr>
        <w:t>4</w:t>
      </w:r>
      <w:r>
        <w:rPr>
          <w:rFonts w:hint="eastAsia" w:ascii="宋体" w:hAnsi="宋体" w:cs="宋体"/>
          <w:sz w:val="24"/>
          <w:szCs w:val="24"/>
          <w:highlight w:val="none"/>
        </w:rPr>
        <w:t>0%</w:t>
      </w:r>
      <w:r>
        <w:rPr>
          <w:rFonts w:hint="eastAsia" w:ascii="宋体" w:hAnsi="宋体" w:cs="宋体"/>
          <w:sz w:val="24"/>
          <w:szCs w:val="24"/>
          <w:highlight w:val="none"/>
          <w:lang w:val="en-US" w:eastAsia="zh-CN"/>
        </w:rPr>
        <w:t>的</w:t>
      </w:r>
      <w:r>
        <w:rPr>
          <w:rFonts w:hint="eastAsia" w:ascii="宋体" w:hAnsi="宋体" w:cs="宋体"/>
          <w:sz w:val="24"/>
          <w:szCs w:val="24"/>
          <w:highlight w:val="none"/>
        </w:rPr>
        <w:t>增值税发票（增值税率1</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pPr>
        <w:snapToGrid w:val="0"/>
        <w:spacing w:beforeLines="0" w:afterLines="0" w:line="460" w:lineRule="exact"/>
        <w:rPr>
          <w:rFonts w:hint="eastAsia" w:ascii="宋体" w:hAnsi="宋体" w:cs="宋体"/>
          <w:sz w:val="24"/>
          <w:szCs w:val="24"/>
          <w:highlight w:val="none"/>
        </w:rPr>
      </w:pPr>
      <w:r>
        <w:rPr>
          <w:rFonts w:hint="eastAsia" w:ascii="宋体" w:hAnsi="宋体" w:cs="宋体"/>
          <w:sz w:val="24"/>
          <w:szCs w:val="24"/>
          <w:highlight w:val="none"/>
        </w:rPr>
        <w:t xml:space="preserve">    b.制造厂家出具的货物质量合格证书。</w:t>
      </w:r>
    </w:p>
    <w:p>
      <w:pPr>
        <w:snapToGrid w:val="0"/>
        <w:spacing w:beforeLines="0" w:afterLines="0"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c.甲方已收讫货物的验收凭证。</w:t>
      </w:r>
    </w:p>
    <w:p>
      <w:pPr>
        <w:snapToGrid w:val="0"/>
        <w:spacing w:beforeLines="0" w:afterLines="0" w:line="460" w:lineRule="exact"/>
        <w:rPr>
          <w:rFonts w:ascii="宋体" w:hAnsi="宋体"/>
          <w:sz w:val="24"/>
          <w:szCs w:val="24"/>
          <w:highlight w:val="none"/>
        </w:rPr>
      </w:pPr>
      <w:r>
        <w:rPr>
          <w:rFonts w:hint="eastAsia" w:ascii="宋体" w:hAnsi="宋体"/>
          <w:sz w:val="24"/>
          <w:szCs w:val="24"/>
          <w:highlight w:val="none"/>
        </w:rPr>
        <w:t>3.3</w:t>
      </w:r>
      <w:r>
        <w:rPr>
          <w:rFonts w:hint="eastAsia"/>
          <w:sz w:val="24"/>
          <w:szCs w:val="24"/>
          <w:highlight w:val="none"/>
          <w:lang w:val="en-US" w:eastAsia="zh-CN"/>
        </w:rPr>
        <w:t xml:space="preserve"> </w:t>
      </w:r>
      <w:r>
        <w:rPr>
          <w:rFonts w:hint="eastAsia" w:ascii="宋体" w:hAnsi="宋体"/>
          <w:sz w:val="24"/>
          <w:szCs w:val="24"/>
          <w:highlight w:val="none"/>
        </w:rPr>
        <w:t>设备</w:t>
      </w:r>
      <w:r>
        <w:rPr>
          <w:rFonts w:hint="eastAsia" w:ascii="宋体" w:hAnsi="宋体"/>
          <w:sz w:val="24"/>
          <w:szCs w:val="24"/>
          <w:highlight w:val="none"/>
          <w:lang w:val="en-US" w:eastAsia="zh-CN"/>
        </w:rPr>
        <w:t>安装调试完成</w:t>
      </w:r>
      <w:r>
        <w:rPr>
          <w:rFonts w:hint="eastAsia" w:ascii="宋体" w:hAnsi="宋体"/>
          <w:sz w:val="24"/>
          <w:szCs w:val="24"/>
          <w:highlight w:val="none"/>
        </w:rPr>
        <w:t>支付款</w:t>
      </w:r>
    </w:p>
    <w:p>
      <w:pPr>
        <w:snapToGrid w:val="0"/>
        <w:spacing w:beforeLines="0" w:afterLines="0" w:line="460" w:lineRule="exact"/>
        <w:ind w:firstLine="480" w:firstLineChars="200"/>
        <w:rPr>
          <w:rFonts w:ascii="宋体" w:hAnsi="宋体"/>
          <w:sz w:val="24"/>
          <w:szCs w:val="24"/>
          <w:highlight w:val="none"/>
        </w:rPr>
      </w:pPr>
      <w:r>
        <w:rPr>
          <w:rFonts w:hint="eastAsia" w:ascii="宋体" w:hAnsi="宋体"/>
          <w:sz w:val="24"/>
          <w:szCs w:val="24"/>
          <w:highlight w:val="none"/>
        </w:rPr>
        <w:t>设备</w:t>
      </w:r>
      <w:r>
        <w:rPr>
          <w:rFonts w:hint="eastAsia" w:ascii="宋体" w:hAnsi="宋体"/>
          <w:sz w:val="24"/>
          <w:szCs w:val="24"/>
          <w:highlight w:val="none"/>
          <w:lang w:val="en-US" w:eastAsia="zh-CN"/>
        </w:rPr>
        <w:t>安装调试完成</w:t>
      </w:r>
      <w:r>
        <w:rPr>
          <w:rFonts w:hint="eastAsia" w:ascii="宋体" w:hAnsi="宋体"/>
          <w:sz w:val="24"/>
          <w:szCs w:val="24"/>
          <w:highlight w:val="none"/>
        </w:rPr>
        <w:t>后，</w:t>
      </w:r>
      <w:r>
        <w:rPr>
          <w:rFonts w:hint="eastAsia" w:ascii="宋体" w:hAnsi="宋体" w:cs="宋体"/>
          <w:sz w:val="24"/>
          <w:szCs w:val="24"/>
          <w:highlight w:val="none"/>
        </w:rPr>
        <w:t>凭以下列明的单证和文件，甲方在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)日历天内向乙方支付合同总价的</w:t>
      </w:r>
      <w:r>
        <w:rPr>
          <w:rFonts w:hint="eastAsia" w:ascii="宋体" w:hAnsi="宋体" w:cs="宋体"/>
          <w:sz w:val="24"/>
          <w:szCs w:val="24"/>
          <w:highlight w:val="none"/>
          <w:lang w:val="en-US" w:eastAsia="zh-CN"/>
        </w:rPr>
        <w:t>3</w:t>
      </w:r>
      <w:r>
        <w:rPr>
          <w:rFonts w:hint="eastAsia" w:ascii="宋体" w:hAnsi="宋体" w:cs="宋体"/>
          <w:sz w:val="24"/>
          <w:szCs w:val="24"/>
          <w:highlight w:val="none"/>
        </w:rPr>
        <w:t>0%，金额为人民币￥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pPr>
        <w:snapToGrid w:val="0"/>
        <w:spacing w:beforeLines="0" w:afterLines="0" w:line="460" w:lineRule="exact"/>
        <w:rPr>
          <w:rFonts w:hint="eastAsia" w:ascii="宋体" w:hAnsi="宋体" w:cs="宋体"/>
          <w:sz w:val="24"/>
          <w:szCs w:val="24"/>
          <w:highlight w:val="none"/>
        </w:rPr>
      </w:pPr>
      <w:r>
        <w:rPr>
          <w:rFonts w:hint="eastAsia" w:ascii="宋体" w:hAnsi="宋体"/>
          <w:sz w:val="24"/>
          <w:szCs w:val="24"/>
          <w:highlight w:val="none"/>
        </w:rPr>
        <w:t xml:space="preserve"> </w:t>
      </w:r>
      <w:r>
        <w:rPr>
          <w:rFonts w:hint="eastAsia" w:ascii="宋体" w:hAnsi="宋体" w:cs="宋体"/>
          <w:sz w:val="24"/>
          <w:szCs w:val="24"/>
          <w:highlight w:val="none"/>
        </w:rPr>
        <w:t xml:space="preserve"> a.甲方收到乙方的合同总价</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val="en-US" w:eastAsia="zh-CN"/>
        </w:rPr>
        <w:t>的</w:t>
      </w:r>
      <w:r>
        <w:rPr>
          <w:rFonts w:hint="eastAsia" w:ascii="宋体" w:hAnsi="宋体" w:cs="宋体"/>
          <w:sz w:val="24"/>
          <w:szCs w:val="24"/>
          <w:highlight w:val="none"/>
        </w:rPr>
        <w:t>增值税发票（增值税率1</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pPr>
        <w:snapToGrid w:val="0"/>
        <w:spacing w:beforeLines="0" w:afterLines="0" w:line="460" w:lineRule="exact"/>
        <w:ind w:firstLine="240" w:firstLineChars="100"/>
        <w:rPr>
          <w:rFonts w:ascii="宋体" w:hAnsi="宋体"/>
          <w:sz w:val="24"/>
          <w:szCs w:val="24"/>
          <w:highlight w:val="none"/>
        </w:rPr>
      </w:pPr>
      <w:r>
        <w:rPr>
          <w:rFonts w:hint="eastAsia" w:ascii="宋体" w:hAnsi="宋体" w:cs="宋体"/>
          <w:sz w:val="24"/>
          <w:szCs w:val="24"/>
          <w:highlight w:val="none"/>
        </w:rPr>
        <w:t>b.</w:t>
      </w:r>
      <w:r>
        <w:rPr>
          <w:rFonts w:hint="eastAsia" w:ascii="宋体" w:hAnsi="宋体"/>
          <w:sz w:val="24"/>
          <w:szCs w:val="24"/>
          <w:highlight w:val="none"/>
        </w:rPr>
        <w:t>设备</w:t>
      </w:r>
      <w:r>
        <w:rPr>
          <w:rFonts w:hint="eastAsia" w:ascii="宋体" w:hAnsi="宋体"/>
          <w:sz w:val="24"/>
          <w:szCs w:val="24"/>
          <w:highlight w:val="none"/>
          <w:lang w:val="en-US" w:eastAsia="zh-CN"/>
        </w:rPr>
        <w:t>安装调试完成</w:t>
      </w:r>
      <w:r>
        <w:rPr>
          <w:rFonts w:hint="eastAsia" w:ascii="宋体" w:hAnsi="宋体"/>
          <w:sz w:val="24"/>
          <w:szCs w:val="24"/>
          <w:highlight w:val="none"/>
        </w:rPr>
        <w:t>所签发的验收文件</w:t>
      </w:r>
    </w:p>
    <w:p>
      <w:pPr>
        <w:snapToGrid w:val="0"/>
        <w:spacing w:beforeLines="0" w:afterLines="0" w:line="460" w:lineRule="exact"/>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r>
        <w:rPr>
          <w:rFonts w:hint="eastAsia" w:cs="宋体"/>
          <w:sz w:val="24"/>
          <w:szCs w:val="24"/>
          <w:highlight w:val="none"/>
          <w:lang w:val="en-US" w:eastAsia="zh-CN"/>
        </w:rPr>
        <w:t xml:space="preserve"> </w:t>
      </w:r>
      <w:r>
        <w:rPr>
          <w:rFonts w:hint="eastAsia" w:ascii="宋体" w:hAnsi="宋体" w:cs="宋体"/>
          <w:sz w:val="24"/>
          <w:szCs w:val="24"/>
          <w:highlight w:val="none"/>
          <w:lang w:val="en-US" w:eastAsia="zh-CN"/>
        </w:rPr>
        <w:t>设备检定合格支付款</w:t>
      </w:r>
    </w:p>
    <w:p>
      <w:pPr>
        <w:snapToGrid w:val="0"/>
        <w:spacing w:beforeLines="0" w:afterLines="0" w:line="460" w:lineRule="exact"/>
        <w:ind w:firstLine="480" w:firstLineChars="200"/>
        <w:rPr>
          <w:rFonts w:ascii="宋体" w:hAnsi="宋体"/>
          <w:sz w:val="24"/>
          <w:szCs w:val="24"/>
          <w:highlight w:val="none"/>
        </w:rPr>
      </w:pPr>
      <w:r>
        <w:rPr>
          <w:rFonts w:hint="eastAsia" w:ascii="宋体" w:hAnsi="宋体"/>
          <w:sz w:val="24"/>
          <w:szCs w:val="24"/>
          <w:highlight w:val="none"/>
        </w:rPr>
        <w:t>设备</w:t>
      </w:r>
      <w:r>
        <w:rPr>
          <w:rFonts w:hint="eastAsia" w:ascii="宋体" w:hAnsi="宋体"/>
          <w:sz w:val="24"/>
          <w:szCs w:val="24"/>
          <w:highlight w:val="none"/>
          <w:lang w:val="en-US" w:eastAsia="zh-CN"/>
        </w:rPr>
        <w:t>安装检定合格</w:t>
      </w:r>
      <w:r>
        <w:rPr>
          <w:rFonts w:hint="eastAsia" w:ascii="宋体" w:hAnsi="宋体"/>
          <w:sz w:val="24"/>
          <w:szCs w:val="24"/>
          <w:highlight w:val="none"/>
        </w:rPr>
        <w:t>后，</w:t>
      </w:r>
      <w:r>
        <w:rPr>
          <w:rFonts w:hint="eastAsia" w:ascii="宋体" w:hAnsi="宋体" w:cs="宋体"/>
          <w:sz w:val="24"/>
          <w:szCs w:val="24"/>
          <w:highlight w:val="none"/>
        </w:rPr>
        <w:t>凭以下列明的单证和文件，甲方在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)日历天内向乙方支付合同总价的</w:t>
      </w:r>
      <w:r>
        <w:rPr>
          <w:rFonts w:hint="eastAsia" w:ascii="宋体" w:hAnsi="宋体" w:cs="宋体"/>
          <w:sz w:val="24"/>
          <w:szCs w:val="24"/>
          <w:highlight w:val="none"/>
          <w:lang w:val="en-US" w:eastAsia="zh-CN"/>
        </w:rPr>
        <w:t>2</w:t>
      </w:r>
      <w:r>
        <w:rPr>
          <w:rFonts w:hint="eastAsia" w:ascii="宋体" w:hAnsi="宋体" w:cs="宋体"/>
          <w:sz w:val="24"/>
          <w:szCs w:val="24"/>
          <w:highlight w:val="none"/>
        </w:rPr>
        <w:t>0%，金额为人民币￥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pPr>
        <w:snapToGrid w:val="0"/>
        <w:spacing w:beforeLines="0" w:afterLines="0" w:line="460" w:lineRule="exact"/>
        <w:rPr>
          <w:rFonts w:hint="eastAsia" w:ascii="宋体" w:hAnsi="宋体" w:cs="宋体"/>
          <w:sz w:val="24"/>
          <w:szCs w:val="24"/>
          <w:highlight w:val="none"/>
        </w:rPr>
      </w:pPr>
      <w:r>
        <w:rPr>
          <w:rFonts w:hint="eastAsia" w:ascii="宋体" w:hAnsi="宋体"/>
          <w:sz w:val="24"/>
          <w:szCs w:val="24"/>
          <w:highlight w:val="none"/>
        </w:rPr>
        <w:t xml:space="preserve"> </w:t>
      </w:r>
      <w:r>
        <w:rPr>
          <w:rFonts w:hint="eastAsia" w:ascii="宋体" w:hAnsi="宋体" w:cs="宋体"/>
          <w:sz w:val="24"/>
          <w:szCs w:val="24"/>
          <w:highlight w:val="none"/>
        </w:rPr>
        <w:t xml:space="preserve"> a.甲方收到乙方的合同总价</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val="en-US" w:eastAsia="zh-CN"/>
        </w:rPr>
        <w:t>的</w:t>
      </w:r>
      <w:r>
        <w:rPr>
          <w:rFonts w:hint="eastAsia" w:ascii="宋体" w:hAnsi="宋体" w:cs="宋体"/>
          <w:sz w:val="24"/>
          <w:szCs w:val="24"/>
          <w:highlight w:val="none"/>
        </w:rPr>
        <w:t>增值税发票（增值税率1</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pPr>
        <w:snapToGrid w:val="0"/>
        <w:spacing w:beforeLines="0" w:afterLines="0" w:line="460" w:lineRule="exact"/>
        <w:ind w:firstLine="240" w:firstLineChars="100"/>
        <w:rPr>
          <w:rFonts w:ascii="宋体" w:hAnsi="宋体"/>
          <w:sz w:val="24"/>
          <w:szCs w:val="24"/>
          <w:highlight w:val="none"/>
        </w:rPr>
      </w:pPr>
      <w:r>
        <w:rPr>
          <w:rFonts w:hint="eastAsia" w:ascii="宋体" w:hAnsi="宋体" w:cs="宋体"/>
          <w:sz w:val="24"/>
          <w:szCs w:val="24"/>
          <w:highlight w:val="none"/>
        </w:rPr>
        <w:t>b.</w:t>
      </w:r>
      <w:r>
        <w:rPr>
          <w:rFonts w:hint="eastAsia" w:ascii="宋体" w:hAnsi="宋体" w:cs="宋体"/>
          <w:sz w:val="24"/>
          <w:szCs w:val="24"/>
          <w:highlight w:val="none"/>
          <w:lang w:val="en-US" w:eastAsia="zh-CN"/>
        </w:rPr>
        <w:t>法定计量检定机构检定并出具国家认可的检定证书</w:t>
      </w:r>
    </w:p>
    <w:p>
      <w:pPr>
        <w:snapToGrid w:val="0"/>
        <w:spacing w:beforeLines="0" w:afterLines="0" w:line="46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5</w:t>
      </w:r>
      <w:r>
        <w:rPr>
          <w:rFonts w:hint="eastAsia" w:cs="宋体"/>
          <w:sz w:val="24"/>
          <w:szCs w:val="24"/>
          <w:highlight w:val="none"/>
          <w:lang w:val="en-US" w:eastAsia="zh-CN"/>
        </w:rPr>
        <w:t xml:space="preserve"> </w:t>
      </w:r>
      <w:r>
        <w:rPr>
          <w:rFonts w:hint="eastAsia" w:ascii="宋体" w:hAnsi="宋体" w:cs="宋体"/>
          <w:sz w:val="24"/>
          <w:szCs w:val="24"/>
          <w:highlight w:val="none"/>
        </w:rPr>
        <w:t>质保金</w:t>
      </w:r>
    </w:p>
    <w:p>
      <w:pPr>
        <w:snapToGrid w:val="0"/>
        <w:spacing w:beforeLines="0" w:afterLines="0" w:line="4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本项目质保金为合同总价的10%，即为人民币￥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元整）。保质期（机械保证期）为设备试车考核合格后一年或乙方最后一批货物到达甲方指定现场后18个月</w:t>
      </w:r>
      <w:r>
        <w:rPr>
          <w:rFonts w:hint="eastAsia" w:ascii="宋体" w:hAnsi="宋体" w:cs="宋体"/>
          <w:sz w:val="24"/>
          <w:szCs w:val="24"/>
          <w:highlight w:val="none"/>
          <w:lang w:eastAsia="zh-CN"/>
        </w:rPr>
        <w:t>（</w:t>
      </w:r>
      <w:r>
        <w:rPr>
          <w:rFonts w:hint="eastAsia" w:ascii="宋体" w:hAnsi="宋体" w:cs="宋体"/>
          <w:sz w:val="24"/>
          <w:szCs w:val="24"/>
          <w:highlight w:val="none"/>
        </w:rPr>
        <w:t>以先到为准</w:t>
      </w:r>
      <w:r>
        <w:rPr>
          <w:rFonts w:hint="eastAsia" w:ascii="宋体" w:hAnsi="宋体" w:cs="宋体"/>
          <w:sz w:val="24"/>
          <w:szCs w:val="24"/>
          <w:highlight w:val="none"/>
          <w:lang w:eastAsia="zh-CN"/>
        </w:rPr>
        <w:t>）</w:t>
      </w:r>
      <w:r>
        <w:rPr>
          <w:rFonts w:hint="eastAsia" w:ascii="宋体" w:hAnsi="宋体" w:cs="宋体"/>
          <w:sz w:val="24"/>
          <w:szCs w:val="24"/>
          <w:highlight w:val="none"/>
        </w:rPr>
        <w:t>，保质期满后甲方在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r>
        <w:rPr>
          <w:rFonts w:hint="eastAsia" w:ascii="宋体" w:hAnsi="宋体" w:cs="宋体"/>
          <w:sz w:val="24"/>
          <w:szCs w:val="24"/>
          <w:highlight w:val="none"/>
          <w:lang w:val="en-US" w:eastAsia="zh-CN"/>
        </w:rPr>
        <w:t>六十</w:t>
      </w:r>
      <w:r>
        <w:rPr>
          <w:rFonts w:hint="eastAsia" w:ascii="宋体" w:hAnsi="宋体" w:cs="宋体"/>
          <w:sz w:val="24"/>
          <w:szCs w:val="24"/>
          <w:highlight w:val="none"/>
        </w:rPr>
        <w:t>)日历天内向乙方支付合同金额10%的合同尾数。</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ascii="宋体" w:hAnsi="宋体" w:cs="宋体"/>
          <w:sz w:val="24"/>
          <w:szCs w:val="24"/>
          <w:highlight w:val="none"/>
        </w:rPr>
        <w:t>设备试车考核合格后一年或乙方最后一批货物到达甲方指定现场后18个月</w:t>
      </w:r>
      <w:r>
        <w:rPr>
          <w:rFonts w:hint="eastAsia" w:ascii="宋体" w:hAnsi="宋体" w:cs="宋体"/>
          <w:sz w:val="24"/>
          <w:szCs w:val="24"/>
          <w:highlight w:val="none"/>
          <w:lang w:eastAsia="zh-CN"/>
        </w:rPr>
        <w:t>（</w:t>
      </w:r>
      <w:r>
        <w:rPr>
          <w:rFonts w:hint="eastAsia" w:ascii="宋体" w:hAnsi="宋体" w:cs="宋体"/>
          <w:sz w:val="24"/>
          <w:szCs w:val="24"/>
          <w:highlight w:val="none"/>
        </w:rPr>
        <w:t>以先到为准</w:t>
      </w:r>
      <w:r>
        <w:rPr>
          <w:rFonts w:hint="eastAsia" w:ascii="宋体" w:hAnsi="宋体" w:cs="宋体"/>
          <w:sz w:val="24"/>
          <w:szCs w:val="24"/>
          <w:highlight w:val="none"/>
          <w:lang w:eastAsia="zh-CN"/>
        </w:rPr>
        <w:t>）</w:t>
      </w:r>
      <w:r>
        <w:rPr>
          <w:rFonts w:hint="eastAsia"/>
          <w:sz w:val="24"/>
        </w:rPr>
        <w:t>）内，乙方应当对其交付的产品承担质量保证责任并提供产品维保服务，所需费用由乙方承担。质保期间如发生任何质量问题，乙方应在24小时内到达甲方现场维修，否则甲方有权另行委托第三方进行维修，所产生的一切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rFonts w:hint="eastAsia"/>
          <w:sz w:val="24"/>
          <w:u w:val="single"/>
        </w:rPr>
        <w:t>具体内容详见《发包说明</w:t>
      </w:r>
      <w:r>
        <w:rPr>
          <w:rFonts w:hint="eastAsia"/>
          <w:sz w:val="24"/>
          <w:u w:val="single"/>
          <w:lang w:eastAsia="zh-CN"/>
        </w:rPr>
        <w:t>》</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r>
        <w:rPr>
          <w:rFonts w:hint="eastAsia"/>
          <w:sz w:val="24"/>
          <w:u w:val="single"/>
        </w:rPr>
        <w:t>具体内容详见《发包说明》</w:t>
      </w:r>
      <w:r>
        <w:rPr>
          <w:sz w:val="24"/>
          <w:u w:val="single"/>
        </w:rPr>
        <w:t xml:space="preserve">                         </w:t>
      </w:r>
    </w:p>
    <w:p>
      <w:pPr>
        <w:spacing w:line="360" w:lineRule="auto"/>
        <w:ind w:firstLine="480" w:firstLineChars="200"/>
        <w:rPr>
          <w:rFonts w:hint="default" w:eastAsia="宋体"/>
          <w:sz w:val="24"/>
          <w:u w:val="single"/>
          <w:lang w:val="en-US" w:eastAsia="zh-CN"/>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r>
        <w:rPr>
          <w:rFonts w:hint="eastAsia"/>
          <w:sz w:val="24"/>
          <w:u w:val="single"/>
        </w:rPr>
        <w:t>具体内容详见《发包说明》</w:t>
      </w:r>
      <w:r>
        <w:rPr>
          <w:sz w:val="24"/>
          <w:u w:val="single"/>
        </w:rPr>
        <w:t xml:space="preserve">                 </w:t>
      </w:r>
      <w:r>
        <w:rPr>
          <w:rFonts w:hint="eastAsia"/>
          <w:sz w:val="24"/>
          <w:u w:val="single"/>
          <w:lang w:val="en-US" w:eastAsia="zh-CN"/>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r>
        <w:rPr>
          <w:rFonts w:hint="eastAsia"/>
          <w:sz w:val="24"/>
          <w:u w:val="single"/>
        </w:rPr>
        <w:t>具体内容详见《发包说明》</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ind w:firstLine="481"/>
        <w:rPr>
          <w:rFonts w:hint="eastAsia"/>
          <w:b/>
          <w:sz w:val="24"/>
        </w:rPr>
      </w:pPr>
      <w:r>
        <w:rPr>
          <w:rFonts w:hint="eastAsia"/>
          <w:b/>
          <w:sz w:val="24"/>
        </w:rPr>
        <w:t>8.2 乙方交付的产品经甲方验收不合格的，每次应向甲方支付违约金人民币2000元，并应根据甲方要求进行修理、更换或采取其他补救措施。累计 2 次验收不合格的，甲方还有权解除合同、要求乙方返还所有已付款项，并支付合同总价10%的违约金，违约金不足以弥补甲方损失的，甲方有权追偿。</w:t>
      </w:r>
    </w:p>
    <w:p>
      <w:pPr>
        <w:spacing w:line="360" w:lineRule="auto"/>
        <w:ind w:firstLine="481"/>
        <w:rPr>
          <w:b/>
          <w:sz w:val="24"/>
        </w:rPr>
      </w:pPr>
      <w:r>
        <w:rPr>
          <w:rFonts w:hint="eastAsia"/>
          <w:b/>
          <w:sz w:val="24"/>
        </w:rPr>
        <w:t>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74"/>
        <w:snapToGrid w:val="0"/>
        <w:spacing w:line="360" w:lineRule="auto"/>
        <w:jc w:val="both"/>
        <w:rPr>
          <w:rFonts w:hint="eastAsia"/>
          <w:sz w:val="24"/>
        </w:rPr>
      </w:pPr>
      <w:r>
        <w:rPr>
          <w:rFonts w:hint="eastAsia"/>
          <w:sz w:val="24"/>
        </w:rPr>
        <w:t>12、本合同一式四份，经双方签订后生效，甲方执三份、乙方执一份，具有同等效力。</w:t>
      </w:r>
    </w:p>
    <w:p>
      <w:pPr>
        <w:pStyle w:val="74"/>
        <w:snapToGrid w:val="0"/>
        <w:spacing w:line="360" w:lineRule="auto"/>
        <w:jc w:val="both"/>
        <w:rPr>
          <w:rFonts w:hint="default" w:ascii="宋体" w:hAnsi="宋体" w:eastAsia="宋体" w:cs="宋体"/>
          <w:color w:val="auto"/>
          <w:sz w:val="24"/>
          <w:szCs w:val="22"/>
          <w:lang w:val="en-US" w:eastAsia="zh-CN" w:bidi="ar-SA"/>
        </w:rPr>
      </w:pPr>
      <w:r>
        <w:rPr>
          <w:sz w:val="24"/>
          <w:lang w:eastAsia="zh-CN"/>
        </w:rPr>
        <w:t>附件</w:t>
      </w:r>
      <w:r>
        <w:rPr>
          <w:rFonts w:hint="eastAsia"/>
          <w:sz w:val="24"/>
          <w:lang w:eastAsia="zh-CN"/>
        </w:rPr>
        <w:t>1</w:t>
      </w:r>
      <w:r>
        <w:rPr>
          <w:sz w:val="24"/>
          <w:lang w:eastAsia="zh-CN"/>
        </w:rPr>
        <w:t>、</w:t>
      </w:r>
      <w:r>
        <w:rPr>
          <w:rFonts w:hint="eastAsia" w:hAnsi="宋体" w:cs="宋体"/>
          <w:color w:val="auto"/>
          <w:sz w:val="24"/>
          <w:szCs w:val="22"/>
          <w:lang w:val="en-US" w:eastAsia="zh-CN" w:bidi="ar-SA"/>
        </w:rPr>
        <w:t>技术协议书</w:t>
      </w:r>
    </w:p>
    <w:p>
      <w:pPr>
        <w:pStyle w:val="74"/>
        <w:snapToGrid w:val="0"/>
        <w:spacing w:line="360" w:lineRule="auto"/>
        <w:jc w:val="both"/>
        <w:rPr>
          <w:rFonts w:hint="default" w:ascii="宋体" w:hAnsi="宋体" w:eastAsia="宋体" w:cs="宋体"/>
          <w:color w:val="auto"/>
          <w:sz w:val="24"/>
          <w:szCs w:val="22"/>
          <w:lang w:val="en-US" w:eastAsia="zh-CN" w:bidi="ar-SA"/>
        </w:rPr>
      </w:pPr>
      <w:r>
        <w:rPr>
          <w:rFonts w:hint="eastAsia" w:hAnsi="宋体" w:cs="宋体"/>
          <w:color w:val="auto"/>
          <w:sz w:val="24"/>
          <w:szCs w:val="22"/>
          <w:lang w:val="en-US" w:eastAsia="zh-CN" w:bidi="ar-SA"/>
        </w:rPr>
        <w:t>附件2、安全环保协议书</w:t>
      </w:r>
    </w:p>
    <w:p>
      <w:pPr>
        <w:rPr>
          <w:sz w:val="24"/>
          <w:lang w:eastAsia="zh-CN"/>
        </w:rPr>
      </w:pPr>
    </w:p>
    <w:p>
      <w:pPr>
        <w:rPr>
          <w:sz w:val="24"/>
          <w:lang w:eastAsia="zh-CN"/>
        </w:rPr>
      </w:pPr>
    </w:p>
    <w:p>
      <w:pPr>
        <w:rPr>
          <w:sz w:val="24"/>
          <w:lang w:eastAsia="zh-CN"/>
        </w:rPr>
      </w:pPr>
    </w:p>
    <w:p>
      <w:pPr>
        <w:rPr>
          <w:sz w:val="24"/>
          <w:lang w:eastAsia="zh-CN"/>
        </w:rPr>
      </w:pPr>
    </w:p>
    <w:p>
      <w:pPr>
        <w:rPr>
          <w:sz w:val="24"/>
          <w:lang w:eastAsia="zh-CN"/>
        </w:rPr>
      </w:pPr>
      <w:r>
        <w:rPr>
          <w:sz w:val="24"/>
          <w:lang w:eastAsia="zh-CN"/>
        </w:rPr>
        <w:t>以下无正文，为合同盖章页。</w:t>
      </w:r>
    </w:p>
    <w:p>
      <w:pPr>
        <w:pStyle w:val="55"/>
      </w:pPr>
    </w:p>
    <w:tbl>
      <w:tblPr>
        <w:tblStyle w:val="47"/>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甲方：</w:t>
                  </w:r>
                  <w:r>
                    <w:rPr>
                      <w:rFonts w:hint="eastAsia"/>
                      <w:sz w:val="24"/>
                      <w:lang w:val="en-US" w:eastAsia="zh-CN"/>
                    </w:rPr>
                    <w:t>翔鹭石化（漳州）有限公司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联系地址：</w:t>
                  </w:r>
                  <w:r>
                    <w:rPr>
                      <w:rFonts w:hint="eastAsia"/>
                      <w:sz w:val="24"/>
                      <w:lang w:val="en-US" w:eastAsia="zh-CN"/>
                    </w:rPr>
                    <w:t>福建省漳州市漳州古雷经济开发区腾龙路86号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邮编：</w:t>
                  </w:r>
                  <w:r>
                    <w:rPr>
                      <w:rFonts w:hint="eastAsia"/>
                      <w:sz w:val="24"/>
                      <w:lang w:val="en-US" w:eastAsia="zh-CN"/>
                    </w:rPr>
                    <w:t>363200</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sz w:val="24"/>
                    </w:rPr>
                    <w:t>传真：</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sz w:val="24"/>
                    </w:rPr>
                    <w:t>电子邮箱：</w:t>
                  </w:r>
                  <w:r>
                    <w:rPr>
                      <w:rFonts w:hint="eastAsia"/>
                      <w:sz w:val="24"/>
                      <w:lang w:val="en-US" w:eastAsia="zh-CN"/>
                    </w:rPr>
                    <w:t>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sz w:val="24"/>
                    </w:rPr>
                    <w:t>电话：</w:t>
                  </w:r>
                  <w:r>
                    <w:rPr>
                      <w:rFonts w:hint="eastAsia"/>
                      <w:sz w:val="24"/>
                      <w:lang w:val="en-US" w:eastAsia="zh-CN"/>
                    </w:rPr>
                    <w:t>0596-6311078</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sz w:val="24"/>
                      <w:lang w:val="en-US" w:eastAsia="zh-CN"/>
                    </w:rPr>
                    <w:t xml:space="preserve">开户银行：中国银行漳州分行  </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55"/>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55"/>
      </w:pPr>
    </w:p>
    <w:p>
      <w:pPr>
        <w:pStyle w:val="55"/>
      </w:pPr>
    </w:p>
    <w:p>
      <w:pPr>
        <w:pStyle w:val="55"/>
      </w:pPr>
    </w:p>
    <w:p>
      <w:pPr>
        <w:pStyle w:val="55"/>
      </w:pPr>
    </w:p>
    <w:p>
      <w:pPr>
        <w:pStyle w:val="55"/>
      </w:pPr>
    </w:p>
    <w:p>
      <w:pPr>
        <w:pStyle w:val="55"/>
      </w:pPr>
    </w:p>
    <w:p>
      <w:pPr>
        <w:pStyle w:val="55"/>
      </w:pPr>
    </w:p>
    <w:p>
      <w:pPr>
        <w:tabs>
          <w:tab w:val="center" w:pos="4923"/>
          <w:tab w:val="right" w:pos="9525"/>
        </w:tabs>
        <w:spacing w:line="276" w:lineRule="auto"/>
        <w:ind w:firstLine="220" w:firstLineChars="100"/>
        <w:rPr>
          <w:rFonts w:hint="eastAsia"/>
          <w:lang w:eastAsia="zh-CN"/>
        </w:rPr>
      </w:pPr>
    </w:p>
    <w:p>
      <w:pPr>
        <w:spacing w:line="400" w:lineRule="exact"/>
        <w:rPr>
          <w:b/>
          <w:color w:val="000000"/>
          <w:sz w:val="24"/>
          <w:lang w:eastAsia="zh-CN"/>
        </w:rPr>
      </w:pPr>
      <w:r>
        <w:rPr>
          <w:rFonts w:hint="eastAsia"/>
          <w:b/>
          <w:color w:val="000000"/>
          <w:sz w:val="24"/>
          <w:lang w:eastAsia="zh-CN"/>
        </w:rPr>
        <w:t>附件2：</w:t>
      </w:r>
    </w:p>
    <w:p>
      <w:pPr>
        <w:pStyle w:val="24"/>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翔鹭石化（漳州）有限公司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lang w:eastAsia="zh-CN"/>
        </w:rPr>
        <w:t>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采购</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7"/>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翔鹭石化（漳州）有限公司                    </w:t>
      </w:r>
    </w:p>
    <w:p>
      <w:pPr>
        <w:pStyle w:val="55"/>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PTA打包流程优化研究项目-链板机采购发包发包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55"/>
      </w:pPr>
    </w:p>
    <w:p>
      <w:pPr>
        <w:pStyle w:val="55"/>
      </w:pPr>
    </w:p>
    <w:p>
      <w:pPr>
        <w:pStyle w:val="55"/>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top"/>
          </w:tcPr>
          <w:p>
            <w:pPr>
              <w:spacing w:line="500" w:lineRule="exact"/>
              <w:rPr>
                <w:sz w:val="24"/>
              </w:rPr>
            </w:pPr>
            <w:r>
              <w:rPr>
                <w:rFonts w:hint="eastAsia"/>
                <w:sz w:val="24"/>
                <w:lang w:val="en-US" w:eastAsia="zh-CN"/>
              </w:rPr>
              <w:t>法人代表</w:t>
            </w:r>
            <w:r>
              <w:rPr>
                <w:rFonts w:hint="eastAsia"/>
                <w:sz w:val="24"/>
              </w:rPr>
              <w:t>复印件</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sz w:val="24"/>
              </w:rPr>
              <w:t>营业执照复印件</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cs="宋体"/>
                <w:sz w:val="24"/>
                <w:szCs w:val="22"/>
                <w:lang w:val="en-US" w:eastAsia="zh-CN" w:bidi="ar-SA"/>
              </w:rPr>
              <w:t>资质文件及相关业绩</w:t>
            </w:r>
            <w:r>
              <w:rPr>
                <w:rFonts w:hint="eastAsia"/>
                <w:sz w:val="24"/>
                <w:lang w:eastAsia="zh-CN"/>
              </w:rPr>
              <w:t>（</w:t>
            </w:r>
            <w:r>
              <w:rPr>
                <w:rFonts w:hint="eastAsia"/>
                <w:sz w:val="24"/>
                <w:lang w:val="en-US" w:eastAsia="zh-CN"/>
              </w:rPr>
              <w:t>技术文件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参选报价单（</w:t>
            </w:r>
            <w:r>
              <w:rPr>
                <w:rFonts w:hint="eastAsia"/>
                <w:sz w:val="24"/>
                <w:lang w:val="en-US" w:eastAsia="zh-CN"/>
              </w:rPr>
              <w:t>商务文件</w:t>
            </w:r>
            <w:r>
              <w:rPr>
                <w:rFonts w:hint="eastAsia"/>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rFonts w:hint="eastAsia"/>
          <w:b/>
          <w:bCs/>
          <w:sz w:val="36"/>
          <w:szCs w:val="36"/>
        </w:rPr>
      </w:pPr>
      <w:r>
        <w:rPr>
          <w:rFonts w:hint="eastAsia"/>
          <w:b/>
          <w:bCs/>
          <w:sz w:val="36"/>
          <w:szCs w:val="36"/>
        </w:rPr>
        <w:t>参选书</w:t>
      </w:r>
    </w:p>
    <w:p>
      <w:pPr>
        <w:pStyle w:val="55"/>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ind w:firstLine="420"/>
        <w:jc w:val="center"/>
        <w:rPr>
          <w:rFonts w:hint="eastAsia" w:ascii="Times New Roman" w:hAnsi="Times New Roman"/>
          <w:kern w:val="2"/>
          <w:sz w:val="24"/>
          <w:szCs w:val="24"/>
        </w:rPr>
      </w:pPr>
    </w:p>
    <w:p>
      <w:pPr>
        <w:pStyle w:val="55"/>
        <w:jc w:val="both"/>
      </w:pPr>
    </w:p>
    <w:p>
      <w:pPr>
        <w:pStyle w:val="55"/>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5"/>
        <w:jc w:val="center"/>
      </w:pPr>
    </w:p>
    <w:p>
      <w:pPr>
        <w:pStyle w:val="55"/>
        <w:jc w:val="both"/>
        <w:rPr>
          <w:rFonts w:ascii="Times New Roman" w:hAnsi="Times New Roman"/>
          <w:b/>
          <w:bCs/>
          <w:kern w:val="2"/>
          <w:sz w:val="36"/>
          <w:szCs w:val="36"/>
        </w:rPr>
      </w:pPr>
    </w:p>
    <w:p>
      <w:pPr>
        <w:pStyle w:val="55"/>
        <w:jc w:val="both"/>
        <w:rPr>
          <w:rFonts w:ascii="Times New Roman" w:hAnsi="Times New Roman"/>
          <w:b/>
          <w:bCs/>
          <w:kern w:val="2"/>
          <w:sz w:val="36"/>
          <w:szCs w:val="36"/>
        </w:rPr>
      </w:pPr>
    </w:p>
    <w:p>
      <w:pPr>
        <w:pStyle w:val="55"/>
        <w:tabs>
          <w:tab w:val="left" w:pos="4944"/>
        </w:tabs>
        <w:jc w:val="center"/>
        <w:rPr>
          <w:rFonts w:hint="default" w:eastAsia="宋体"/>
          <w:color w:val="4E6127"/>
          <w:lang w:val="en-US" w:eastAsia="zh-CN"/>
        </w:rPr>
      </w:pPr>
      <w:r>
        <w:rPr>
          <w:rFonts w:hint="eastAsia" w:ascii="Times New Roman" w:hAnsi="Times New Roman"/>
          <w:b/>
          <w:bCs/>
          <w:kern w:val="2"/>
          <w:sz w:val="36"/>
          <w:szCs w:val="36"/>
          <w:lang w:val="en-US" w:eastAsia="zh-CN"/>
        </w:rPr>
        <w:t>资质文件及相关业绩</w:t>
      </w:r>
    </w:p>
    <w:p>
      <w:pPr>
        <w:pStyle w:val="55"/>
        <w:jc w:val="both"/>
        <w:rPr>
          <w:rFonts w:ascii="Times New Roman" w:hAnsi="Times New Roman"/>
          <w:b/>
          <w:bCs/>
          <w:kern w:val="2"/>
          <w:sz w:val="36"/>
          <w:szCs w:val="36"/>
        </w:rPr>
      </w:pPr>
    </w:p>
    <w:p>
      <w:pPr>
        <w:pStyle w:val="55"/>
        <w:jc w:val="center"/>
        <w:rPr>
          <w:rFonts w:ascii="Times New Roman" w:hAnsi="Times New Roman"/>
          <w:b/>
          <w:bCs/>
          <w:kern w:val="2"/>
          <w:sz w:val="36"/>
          <w:szCs w:val="36"/>
        </w:rPr>
      </w:pP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3"/>
        <w:spacing w:beforeLines="0" w:afterLines="0" w:line="240" w:lineRule="auto"/>
        <w:rPr>
          <w:rFonts w:cs="Times New Roman"/>
          <w:bCs w:val="0"/>
          <w:color w:val="4E6127"/>
          <w:lang w:eastAsia="zh-CN"/>
        </w:rPr>
      </w:pPr>
    </w:p>
    <w:p>
      <w:pPr>
        <w:pStyle w:val="73"/>
        <w:spacing w:beforeLines="0" w:afterLines="0" w:line="240" w:lineRule="auto"/>
        <w:rPr>
          <w:rFonts w:cs="Times New Roman"/>
          <w:bCs w:val="0"/>
          <w:lang w:eastAsia="zh-CN"/>
        </w:rPr>
      </w:pPr>
    </w:p>
    <w:p>
      <w:pPr>
        <w:pStyle w:val="73"/>
        <w:spacing w:beforeLines="0" w:afterLines="0" w:line="240" w:lineRule="auto"/>
        <w:rPr>
          <w:rFonts w:cs="Times New Roman"/>
          <w:bCs w:val="0"/>
          <w:lang w:eastAsia="zh-CN"/>
        </w:rPr>
      </w:pPr>
    </w:p>
    <w:p>
      <w:pPr>
        <w:pStyle w:val="73"/>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55"/>
        <w:rPr>
          <w:rFonts w:hint="eastAsia" w:ascii="Times New Roman" w:hAnsi="Times New Roman" w:cs="Times New Roman"/>
          <w:b/>
          <w:sz w:val="36"/>
          <w:szCs w:val="36"/>
          <w:lang w:eastAsia="zh-CN"/>
        </w:rPr>
      </w:pPr>
    </w:p>
    <w:p>
      <w:pPr>
        <w:spacing w:line="360" w:lineRule="auto"/>
        <w:jc w:val="both"/>
      </w:pPr>
    </w:p>
    <w:p>
      <w:pPr>
        <w:pStyle w:val="55"/>
      </w:pPr>
    </w:p>
    <w:p>
      <w:pPr>
        <w:pStyle w:val="55"/>
      </w:pPr>
    </w:p>
    <w:p>
      <w:pPr>
        <w:pStyle w:val="55"/>
      </w:pPr>
    </w:p>
    <w:p>
      <w:pPr>
        <w:pStyle w:val="55"/>
      </w:pPr>
    </w:p>
    <w:p>
      <w:pPr>
        <w:pStyle w:val="55"/>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福海创PTA打包流程优化研究项目-链板机采购发包</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55"/>
        <w:spacing w:line="480" w:lineRule="auto"/>
        <w:ind w:firstLine="601" w:firstLineChars="188"/>
        <w:rPr>
          <w:rFonts w:ascii="Times New Roman" w:hAnsi="Times New Roman" w:eastAsia="仿宋_GB2312"/>
          <w:kern w:val="2"/>
          <w:sz w:val="32"/>
          <w:szCs w:val="32"/>
        </w:rPr>
      </w:pPr>
    </w:p>
    <w:p>
      <w:pPr>
        <w:pStyle w:val="55"/>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55"/>
        <w:ind w:firstLine="601" w:firstLineChars="188"/>
        <w:rPr>
          <w:rFonts w:ascii="Times New Roman" w:hAnsi="Times New Roman" w:eastAsia="仿宋_GB2312"/>
          <w:kern w:val="2"/>
          <w:sz w:val="32"/>
          <w:szCs w:val="32"/>
        </w:rPr>
      </w:pPr>
    </w:p>
    <w:p>
      <w:pPr>
        <w:pStyle w:val="55"/>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55"/>
        <w:ind w:firstLine="451" w:firstLineChars="188"/>
        <w:jc w:val="center"/>
        <w:rPr>
          <w:rFonts w:hint="eastAsia" w:hAnsi="宋体" w:cs="宋体"/>
          <w:kern w:val="2"/>
          <w:sz w:val="24"/>
          <w:szCs w:val="24"/>
        </w:rPr>
      </w:pPr>
    </w:p>
    <w:p>
      <w:pPr>
        <w:pStyle w:val="55"/>
        <w:ind w:firstLine="451" w:firstLineChars="188"/>
        <w:jc w:val="center"/>
        <w:rPr>
          <w:rFonts w:hAnsi="宋体" w:cs="宋体"/>
          <w:kern w:val="2"/>
          <w:sz w:val="24"/>
          <w:szCs w:val="24"/>
        </w:rPr>
      </w:pPr>
      <w:r>
        <w:rPr>
          <w:rFonts w:hint="eastAsia" w:hAnsi="宋体" w:cs="宋体"/>
          <w:kern w:val="2"/>
          <w:sz w:val="24"/>
          <w:szCs w:val="24"/>
        </w:rPr>
        <w:t>年  月  日</w:t>
      </w:r>
    </w:p>
    <w:p>
      <w:pPr>
        <w:pStyle w:val="55"/>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pStyle w:val="55"/>
        <w:rPr>
          <w:rFonts w:hint="eastAsia"/>
          <w:b/>
          <w:bCs/>
          <w:sz w:val="24"/>
          <w:szCs w:val="24"/>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PTA打包流程优化研究项目-链板机采购发包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PTA打包流程优化研究项目-链板机采购发包价格清单</w:t>
            </w:r>
          </w:p>
          <w:tbl>
            <w:tblPr>
              <w:tblStyle w:val="4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1571"/>
              <w:gridCol w:w="1597"/>
              <w:gridCol w:w="679"/>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1571" w:type="dxa"/>
                  <w:vAlign w:val="top"/>
                </w:tcPr>
                <w:p>
                  <w:pPr>
                    <w:widowControl/>
                    <w:autoSpaceDE/>
                    <w:autoSpaceDN/>
                    <w:jc w:val="center"/>
                    <w:rPr>
                      <w:lang w:eastAsia="zh-CN"/>
                    </w:rPr>
                  </w:pPr>
                  <w:r>
                    <w:rPr>
                      <w:lang w:eastAsia="zh-CN"/>
                    </w:rPr>
                    <w:t>规格</w:t>
                  </w:r>
                </w:p>
              </w:tc>
              <w:tc>
                <w:tcPr>
                  <w:tcW w:w="1597"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805" w:type="dxa"/>
                  <w:vAlign w:val="top"/>
                </w:tcPr>
                <w:p>
                  <w:pPr>
                    <w:widowControl/>
                    <w:autoSpaceDE/>
                    <w:autoSpaceDN/>
                    <w:jc w:val="center"/>
                    <w:rPr>
                      <w:lang w:eastAsia="zh-CN"/>
                    </w:rPr>
                  </w:pPr>
                  <w:r>
                    <w:rPr>
                      <w:lang w:eastAsia="zh-CN"/>
                    </w:rPr>
                    <w:t>单价</w:t>
                  </w:r>
                </w:p>
              </w:tc>
              <w:tc>
                <w:tcPr>
                  <w:tcW w:w="925" w:type="dxa"/>
                  <w:vAlign w:val="top"/>
                </w:tcPr>
                <w:p>
                  <w:pPr>
                    <w:widowControl/>
                    <w:autoSpaceDE/>
                    <w:autoSpaceDN/>
                    <w:jc w:val="center"/>
                    <w:rPr>
                      <w:lang w:eastAsia="zh-CN"/>
                    </w:rPr>
                  </w:pPr>
                  <w:r>
                    <w:rPr>
                      <w:lang w:eastAsia="zh-CN"/>
                    </w:rPr>
                    <w:t>总价</w:t>
                  </w:r>
                </w:p>
              </w:tc>
              <w:tc>
                <w:tcPr>
                  <w:tcW w:w="145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rFonts w:hint="default"/>
                      <w:lang w:val="en-US" w:eastAsia="zh-CN"/>
                    </w:rPr>
                  </w:pPr>
                </w:p>
              </w:tc>
              <w:tc>
                <w:tcPr>
                  <w:tcW w:w="1571" w:type="dxa"/>
                  <w:vAlign w:val="center"/>
                </w:tcPr>
                <w:p>
                  <w:pPr>
                    <w:widowControl/>
                    <w:autoSpaceDE/>
                    <w:autoSpaceDN/>
                    <w:jc w:val="center"/>
                    <w:rPr>
                      <w:lang w:eastAsia="zh-CN"/>
                    </w:rPr>
                  </w:pPr>
                </w:p>
              </w:tc>
              <w:tc>
                <w:tcPr>
                  <w:tcW w:w="1597"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1项</w:t>
                  </w: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032" w:type="dxa"/>
                <w:trHeight w:val="331" w:hRule="atLeast"/>
                <w:jc w:val="center"/>
              </w:trPr>
              <w:tc>
                <w:tcPr>
                  <w:tcW w:w="2203"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55"/>
            </w:pPr>
          </w:p>
        </w:tc>
      </w:tr>
    </w:tbl>
    <w:p>
      <w:pPr>
        <w:pStyle w:val="55"/>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5"/>
        <w:rPr>
          <w:rFonts w:hint="eastAsia"/>
          <w:color w:val="00B050"/>
          <w:sz w:val="28"/>
          <w:lang w:val="en-US" w:eastAsia="zh-CN"/>
        </w:rPr>
      </w:pPr>
      <w:r>
        <w:rPr>
          <w:rFonts w:hint="eastAsia"/>
          <w:color w:val="00B050"/>
          <w:sz w:val="28"/>
          <w:lang w:val="en-US" w:eastAsia="zh-CN"/>
        </w:rPr>
        <w:t xml:space="preserve">  </w:t>
      </w:r>
    </w:p>
    <w:p>
      <w:pPr>
        <w:pStyle w:val="55"/>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29"/>
          <w:jc w:val="center"/>
        </w:pPr>
        <w:r>
          <w:fldChar w:fldCharType="begin"/>
        </w:r>
        <w:r>
          <w:instrText xml:space="preserve">PAGE   \* MERGEFORMAT</w:instrText>
        </w:r>
        <w:r>
          <w:fldChar w:fldCharType="separate"/>
        </w:r>
        <w:r>
          <w:rPr>
            <w:lang w:val="zh-CN" w:eastAsia="zh-CN"/>
          </w:rPr>
          <w:t>19</w:t>
        </w:r>
        <w:r>
          <w:fldChar w:fldCharType="end"/>
        </w:r>
      </w:p>
    </w:sdtContent>
  </w:sdt>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4460358"/>
    <w:rsid w:val="04E75848"/>
    <w:rsid w:val="061139E5"/>
    <w:rsid w:val="068E4F39"/>
    <w:rsid w:val="06F50B00"/>
    <w:rsid w:val="076E1278"/>
    <w:rsid w:val="08D1141D"/>
    <w:rsid w:val="0A0C76F4"/>
    <w:rsid w:val="0B296DE2"/>
    <w:rsid w:val="0D7C0C82"/>
    <w:rsid w:val="10294AA3"/>
    <w:rsid w:val="10E40CA0"/>
    <w:rsid w:val="136130D9"/>
    <w:rsid w:val="13740E08"/>
    <w:rsid w:val="13805E8A"/>
    <w:rsid w:val="14762538"/>
    <w:rsid w:val="15800409"/>
    <w:rsid w:val="173600E6"/>
    <w:rsid w:val="18DD4F7E"/>
    <w:rsid w:val="195B58A2"/>
    <w:rsid w:val="1989465C"/>
    <w:rsid w:val="1D042D40"/>
    <w:rsid w:val="1E085A14"/>
    <w:rsid w:val="1FF43DDB"/>
    <w:rsid w:val="21933AA2"/>
    <w:rsid w:val="25BF356F"/>
    <w:rsid w:val="25DB0C2D"/>
    <w:rsid w:val="269469E7"/>
    <w:rsid w:val="26EF5299"/>
    <w:rsid w:val="27EE0826"/>
    <w:rsid w:val="2998140D"/>
    <w:rsid w:val="29FC3B14"/>
    <w:rsid w:val="2B0938F4"/>
    <w:rsid w:val="2B11792E"/>
    <w:rsid w:val="2F724BD0"/>
    <w:rsid w:val="31C54755"/>
    <w:rsid w:val="3216608C"/>
    <w:rsid w:val="33886E7E"/>
    <w:rsid w:val="34646D66"/>
    <w:rsid w:val="34CE14C6"/>
    <w:rsid w:val="34D84CEC"/>
    <w:rsid w:val="37AF5AB7"/>
    <w:rsid w:val="383B4F70"/>
    <w:rsid w:val="3B1C3371"/>
    <w:rsid w:val="3CC23198"/>
    <w:rsid w:val="3DDF4815"/>
    <w:rsid w:val="3FE669E5"/>
    <w:rsid w:val="462A54F2"/>
    <w:rsid w:val="470B3BF9"/>
    <w:rsid w:val="4A6A5207"/>
    <w:rsid w:val="4ACD3226"/>
    <w:rsid w:val="4C7219F0"/>
    <w:rsid w:val="4CF0286F"/>
    <w:rsid w:val="4D766B0F"/>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04457DC"/>
    <w:rsid w:val="628D3982"/>
    <w:rsid w:val="645771F8"/>
    <w:rsid w:val="66CC0AF0"/>
    <w:rsid w:val="66E46C2D"/>
    <w:rsid w:val="693C3D94"/>
    <w:rsid w:val="6A54112D"/>
    <w:rsid w:val="6A701C86"/>
    <w:rsid w:val="6AA035AE"/>
    <w:rsid w:val="6BCB034D"/>
    <w:rsid w:val="6C0E1756"/>
    <w:rsid w:val="6E0F2E14"/>
    <w:rsid w:val="6EC947D2"/>
    <w:rsid w:val="6F1E141D"/>
    <w:rsid w:val="6F5354F8"/>
    <w:rsid w:val="727810B8"/>
    <w:rsid w:val="740A2BDE"/>
    <w:rsid w:val="751839E0"/>
    <w:rsid w:val="7587683F"/>
    <w:rsid w:val="760520B2"/>
    <w:rsid w:val="76274F93"/>
    <w:rsid w:val="79611A9B"/>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56</Pages>
  <Words>23177</Words>
  <Characters>25073</Characters>
  <Lines>115</Lines>
  <Paragraphs>32</Paragraphs>
  <TotalTime>8</TotalTime>
  <ScaleCrop>false</ScaleCrop>
  <LinksUpToDate>false</LinksUpToDate>
  <CharactersWithSpaces>26728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2022-10-31T09:38:30Z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